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2DD2A" w14:textId="3D824F4F" w:rsidR="00917DD2" w:rsidRPr="00B266B0" w:rsidRDefault="00917DD2" w:rsidP="00917D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BD13C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1B39AA">
        <w:rPr>
          <w:bCs/>
          <w:noProof w:val="0"/>
          <w:sz w:val="24"/>
          <w:szCs w:val="24"/>
        </w:rPr>
        <w:t>906750</w:t>
      </w:r>
    </w:p>
    <w:p w14:paraId="231362B2" w14:textId="6CD03742" w:rsidR="00CD4C7B" w:rsidRPr="003301EC" w:rsidRDefault="00BD13C8" w:rsidP="00CD4C7B">
      <w:pPr>
        <w:pStyle w:val="Header"/>
        <w:tabs>
          <w:tab w:val="right" w:pos="9639"/>
        </w:tabs>
        <w:rPr>
          <w:rFonts w:eastAsia="SimSun"/>
          <w:bCs/>
          <w:sz w:val="24"/>
          <w:szCs w:val="24"/>
          <w:lang w:val="it-IT" w:eastAsia="zh-CN"/>
        </w:rPr>
      </w:pPr>
      <w:r w:rsidRPr="003301EC">
        <w:rPr>
          <w:bCs/>
          <w:sz w:val="24"/>
          <w:szCs w:val="24"/>
          <w:lang w:val="it-IT" w:eastAsia="zh-CN"/>
        </w:rPr>
        <w:t>Reno, USA, 13 – 17 May 2019</w:t>
      </w:r>
      <w:r w:rsidR="00364B41" w:rsidRPr="003301EC">
        <w:rPr>
          <w:rFonts w:eastAsia="SimSun"/>
          <w:noProof w:val="0"/>
          <w:sz w:val="24"/>
          <w:szCs w:val="24"/>
          <w:lang w:val="it-IT" w:eastAsia="zh-CN"/>
        </w:rPr>
        <w:tab/>
      </w:r>
    </w:p>
    <w:p w14:paraId="39BE00F6" w14:textId="77777777" w:rsidR="00CD4C7B" w:rsidRPr="003301EC" w:rsidRDefault="00CD4C7B" w:rsidP="00CD4C7B">
      <w:pPr>
        <w:pStyle w:val="Header"/>
        <w:rPr>
          <w:bCs/>
          <w:noProof w:val="0"/>
          <w:sz w:val="24"/>
          <w:lang w:val="it-IT"/>
        </w:rPr>
      </w:pPr>
    </w:p>
    <w:p w14:paraId="49379CFB" w14:textId="77777777" w:rsidR="00CD4C7B" w:rsidRPr="003301EC" w:rsidRDefault="00CD4C7B" w:rsidP="00CD4C7B">
      <w:pPr>
        <w:pStyle w:val="Header"/>
        <w:rPr>
          <w:bCs/>
          <w:noProof w:val="0"/>
          <w:sz w:val="24"/>
          <w:lang w:val="it-IT"/>
        </w:rPr>
      </w:pPr>
    </w:p>
    <w:p w14:paraId="758E2B30" w14:textId="5570966C" w:rsidR="00CD4C7B" w:rsidRPr="003301EC" w:rsidRDefault="00CD4C7B" w:rsidP="00CD4C7B">
      <w:pPr>
        <w:pStyle w:val="CRCoverPage"/>
        <w:tabs>
          <w:tab w:val="left" w:pos="1985"/>
        </w:tabs>
        <w:rPr>
          <w:rFonts w:cs="Arial"/>
          <w:b/>
          <w:bCs/>
          <w:sz w:val="24"/>
          <w:lang w:val="it-IT" w:eastAsia="ja-JP"/>
        </w:rPr>
      </w:pPr>
      <w:r w:rsidRPr="003301EC">
        <w:rPr>
          <w:rFonts w:cs="Arial"/>
          <w:b/>
          <w:bCs/>
          <w:sz w:val="24"/>
          <w:lang w:val="it-IT"/>
        </w:rPr>
        <w:t>Agenda item:</w:t>
      </w:r>
      <w:r w:rsidRPr="003301EC">
        <w:rPr>
          <w:rFonts w:cs="Arial"/>
          <w:b/>
          <w:bCs/>
          <w:sz w:val="24"/>
          <w:lang w:val="it-IT"/>
        </w:rPr>
        <w:tab/>
      </w:r>
      <w:r w:rsidR="001B39AA" w:rsidRPr="001B39AA">
        <w:rPr>
          <w:rFonts w:eastAsia="SimSun" w:cs="Arial"/>
          <w:b/>
          <w:bCs/>
          <w:sz w:val="24"/>
          <w:lang w:val="it-IT"/>
        </w:rPr>
        <w:t>11.2.2.2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A835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556F" w:rsidRPr="0089556F">
        <w:rPr>
          <w:rFonts w:ascii="Arial" w:hAnsi="Arial" w:cs="Arial"/>
          <w:b/>
          <w:bCs/>
          <w:sz w:val="24"/>
        </w:rPr>
        <w:t>On UL transmission</w:t>
      </w:r>
      <w:r w:rsidR="00894805">
        <w:rPr>
          <w:rFonts w:ascii="Arial" w:hAnsi="Arial" w:cs="Arial"/>
          <w:b/>
          <w:bCs/>
          <w:sz w:val="24"/>
        </w:rPr>
        <w:t>s</w:t>
      </w:r>
      <w:r w:rsidR="0089556F" w:rsidRPr="0089556F">
        <w:rPr>
          <w:rFonts w:ascii="Arial" w:hAnsi="Arial" w:cs="Arial"/>
          <w:b/>
          <w:bCs/>
          <w:sz w:val="24"/>
        </w:rPr>
        <w:t xml:space="preserve"> during SMTC in NR-U</w:t>
      </w:r>
    </w:p>
    <w:p w14:paraId="3AC3A0B1" w14:textId="35ABCB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C1944" w:rsidRPr="004564E5">
        <w:rPr>
          <w:rFonts w:ascii="Arial" w:eastAsia="Arial" w:hAnsi="Arial" w:cs="Arial"/>
          <w:b/>
          <w:bCs/>
          <w:sz w:val="24"/>
          <w:szCs w:val="24"/>
        </w:rPr>
        <w:t>NR_unlic-Core</w:t>
      </w:r>
      <w:r w:rsidR="00AC1944" w:rsidRPr="00FB2849">
        <w:rPr>
          <w:rFonts w:ascii="Arial" w:eastAsia="Arial" w:hAnsi="Arial" w:cs="Arial"/>
          <w:b/>
          <w:bCs/>
          <w:sz w:val="24"/>
          <w:szCs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A644F7" w14:textId="45E93713" w:rsidR="00AC1944" w:rsidRPr="006E13D1" w:rsidRDefault="00CD4C7B" w:rsidP="00AC1944">
      <w:pPr>
        <w:pStyle w:val="Heading1"/>
      </w:pPr>
      <w:r w:rsidRPr="006E13D1">
        <w:t>1</w:t>
      </w:r>
      <w:r w:rsidR="00AC1944" w:rsidRPr="006E13D1">
        <w:tab/>
      </w:r>
      <w:r w:rsidR="00AC1944">
        <w:t>Introduction</w:t>
      </w:r>
    </w:p>
    <w:p w14:paraId="3772667A" w14:textId="6D996D47" w:rsidR="00321192" w:rsidRPr="000E66B5" w:rsidRDefault="00321192" w:rsidP="00321192">
      <w:pPr>
        <w:jc w:val="both"/>
      </w:pPr>
      <w:r w:rsidRPr="000E66B5">
        <w:t>Following the completion of the study item on NR-based access to unlicensed spectrum</w:t>
      </w:r>
      <w:r>
        <w:t xml:space="preserve">, a work item </w:t>
      </w:r>
      <w:r w:rsidRPr="000E66B5">
        <w:t>has been approved in 3GPP RAN #82</w:t>
      </w:r>
      <w:r>
        <w:t xml:space="preserve"> [</w:t>
      </w:r>
      <w:r w:rsidR="00D010CE">
        <w:t>1</w:t>
      </w:r>
      <w:r>
        <w:t>]</w:t>
      </w:r>
      <w:r w:rsidRPr="000E66B5">
        <w:t>. One of the objectives of the NR-U work item is to introduce support of mobility in unlicensed spectrum:</w:t>
      </w:r>
    </w:p>
    <w:p w14:paraId="3AD21722" w14:textId="77777777" w:rsidR="00321192" w:rsidRPr="000E66B5" w:rsidRDefault="00321192" w:rsidP="00321192">
      <w:pPr>
        <w:pStyle w:val="B2"/>
        <w:ind w:left="567" w:firstLine="0"/>
        <w:jc w:val="both"/>
        <w:rPr>
          <w:i/>
        </w:rPr>
      </w:pPr>
      <w:r w:rsidRPr="00321192">
        <w:rPr>
          <w:i/>
        </w:rPr>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r w:rsidRPr="000E66B5">
        <w:rPr>
          <w:i/>
        </w:rPr>
        <w:t xml:space="preserve"> </w:t>
      </w:r>
    </w:p>
    <w:p w14:paraId="0E237A96" w14:textId="5903DE74" w:rsidR="00321192" w:rsidRPr="000E66B5" w:rsidRDefault="00321192" w:rsidP="00321192">
      <w:pPr>
        <w:jc w:val="both"/>
      </w:pPr>
      <w:r w:rsidRPr="000E66B5">
        <w:t xml:space="preserve">As </w:t>
      </w:r>
      <w:r w:rsidR="00894805">
        <w:t xml:space="preserve">the </w:t>
      </w:r>
      <w:r w:rsidRPr="000E66B5">
        <w:t xml:space="preserve">RRM framework to support mobility in unlicensed spectrum, the Rel-15 NR RRM framework is assumed as baseline </w:t>
      </w:r>
      <w:r>
        <w:t>[</w:t>
      </w:r>
      <w:r w:rsidR="00894805">
        <w:t>2</w:t>
      </w:r>
      <w:r>
        <w:t xml:space="preserve">]. </w:t>
      </w:r>
      <w:r w:rsidRPr="000E66B5">
        <w:t xml:space="preserve">  </w:t>
      </w:r>
    </w:p>
    <w:p w14:paraId="022290AE" w14:textId="77777777" w:rsidR="00321192" w:rsidRPr="000E66B5" w:rsidRDefault="00321192" w:rsidP="00321192">
      <w:pPr>
        <w:ind w:left="567"/>
        <w:jc w:val="both"/>
        <w:rPr>
          <w:i/>
          <w:lang w:eastAsia="x-none"/>
        </w:rPr>
      </w:pPr>
      <w:r w:rsidRPr="000E66B5">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p>
    <w:p w14:paraId="1BD36C2A" w14:textId="3202222C" w:rsidR="00321192" w:rsidRDefault="00321192" w:rsidP="00321192">
      <w:pPr>
        <w:jc w:val="both"/>
        <w:rPr>
          <w:lang w:val="en-US"/>
        </w:rPr>
      </w:pPr>
      <w:r w:rsidRPr="000E66B5">
        <w:t xml:space="preserve">Rel-15 </w:t>
      </w:r>
      <w:r w:rsidRPr="000E66B5">
        <w:rPr>
          <w:lang w:val="en-US"/>
        </w:rPr>
        <w:t xml:space="preserve">NR introduces the concept of </w:t>
      </w:r>
      <w:r w:rsidRPr="000E66B5">
        <w:rPr>
          <w:rFonts w:eastAsia="MS Mincho"/>
          <w:lang w:eastAsia="ja-JP"/>
        </w:rPr>
        <w:t xml:space="preserve">SSB based RRM measurement timing configuration (SMTC) </w:t>
      </w:r>
      <w:r w:rsidRPr="000E66B5">
        <w:rPr>
          <w:lang w:val="en-US"/>
        </w:rPr>
        <w:t xml:space="preserve">for SSB-based measurements. The SMTC is a timing configuration where the UE is configured to perform SSB-based RRM measurements. The NR SMTC framework presents several similarities with the LAA Discovery Reference Signal (DRS) </w:t>
      </w:r>
      <w:r w:rsidRPr="000E66B5">
        <w:rPr>
          <w:rFonts w:eastAsia="MS Mincho"/>
          <w:lang w:eastAsia="ja-JP"/>
        </w:rPr>
        <w:t>measurement timing configuration (</w:t>
      </w:r>
      <w:r w:rsidRPr="000E66B5">
        <w:rPr>
          <w:lang w:val="en-US"/>
        </w:rPr>
        <w:t>DMTC) concept, which was introduced in Rel-13 LAA to handle the time unpredictability in the transmission of DRS for the purpose (among others) of performing RRM measurements</w:t>
      </w:r>
      <w:r>
        <w:rPr>
          <w:lang w:val="en-US"/>
        </w:rPr>
        <w:t xml:space="preserve"> in unlicensed spectrum</w:t>
      </w:r>
      <w:r w:rsidRPr="000E66B5">
        <w:rPr>
          <w:lang w:val="en-US"/>
        </w:rPr>
        <w:t>.</w:t>
      </w:r>
    </w:p>
    <w:p w14:paraId="6876E192" w14:textId="13B79A2C" w:rsidR="00321192" w:rsidRPr="00321192" w:rsidRDefault="00321192" w:rsidP="00321192">
      <w:pPr>
        <w:jc w:val="both"/>
      </w:pPr>
      <w:r w:rsidRPr="000E66B5">
        <w:rPr>
          <w:lang w:val="en-US"/>
        </w:rPr>
        <w:t xml:space="preserve">According to the agreements captured </w:t>
      </w:r>
      <w:r>
        <w:rPr>
          <w:lang w:val="en-US"/>
        </w:rPr>
        <w:t>in [</w:t>
      </w:r>
      <w:r w:rsidR="00894805">
        <w:rPr>
          <w:lang w:val="en-US"/>
        </w:rPr>
        <w:t>2</w:t>
      </w:r>
      <w:r>
        <w:rPr>
          <w:lang w:val="en-US"/>
        </w:rPr>
        <w:t xml:space="preserve">] and </w:t>
      </w:r>
      <w:r w:rsidR="00894805">
        <w:rPr>
          <w:lang w:val="en-US"/>
        </w:rPr>
        <w:t xml:space="preserve">the </w:t>
      </w:r>
      <w:r>
        <w:rPr>
          <w:lang w:val="en-US"/>
        </w:rPr>
        <w:t>related discussions in RAN1</w:t>
      </w:r>
      <w:r w:rsidRPr="000E66B5">
        <w:rPr>
          <w:lang w:val="en-US"/>
        </w:rPr>
        <w:t>, to overcome the negative effects of impending channel unavailability due to Listen-Before Talk (LBT)</w:t>
      </w:r>
      <w:r>
        <w:rPr>
          <w:lang w:val="en-US"/>
        </w:rPr>
        <w:t xml:space="preserve">, the </w:t>
      </w:r>
      <w:r w:rsidRPr="000E66B5">
        <w:rPr>
          <w:lang w:val="en-US"/>
        </w:rPr>
        <w:t xml:space="preserve">NR-U </w:t>
      </w:r>
      <w:r>
        <w:rPr>
          <w:lang w:val="en-US"/>
        </w:rPr>
        <w:t xml:space="preserve">DRS </w:t>
      </w:r>
      <w:r w:rsidRPr="000E66B5">
        <w:rPr>
          <w:lang w:val="en-US"/>
        </w:rPr>
        <w:t xml:space="preserve">is </w:t>
      </w:r>
      <w:r>
        <w:rPr>
          <w:lang w:val="en-US"/>
        </w:rPr>
        <w:t xml:space="preserve">transmitted </w:t>
      </w:r>
      <w:r w:rsidRPr="000E66B5">
        <w:rPr>
          <w:lang w:val="en-US"/>
        </w:rPr>
        <w:t>within a window of opportunity</w:t>
      </w:r>
      <w:r w:rsidR="00ED7D53">
        <w:rPr>
          <w:lang w:val="en-US"/>
        </w:rPr>
        <w:t xml:space="preserve">, which </w:t>
      </w:r>
      <w:r w:rsidR="00984C50">
        <w:rPr>
          <w:lang w:val="en-US"/>
        </w:rPr>
        <w:t xml:space="preserve">we also refer to as </w:t>
      </w:r>
      <w:r w:rsidR="00ED7D53">
        <w:rPr>
          <w:lang w:val="en-US"/>
        </w:rPr>
        <w:t>DRS transmission opportunity window. Based on RAN1</w:t>
      </w:r>
      <w:r w:rsidR="00115EFA">
        <w:rPr>
          <w:lang w:val="en-US"/>
        </w:rPr>
        <w:t>#96bis</w:t>
      </w:r>
      <w:r w:rsidR="00ED7D53">
        <w:rPr>
          <w:lang w:val="en-US"/>
        </w:rPr>
        <w:t xml:space="preserve"> agreements</w:t>
      </w:r>
      <w:r w:rsidR="00115EFA">
        <w:rPr>
          <w:lang w:val="en-US"/>
        </w:rPr>
        <w:t xml:space="preserve"> </w:t>
      </w:r>
      <w:r w:rsidR="00ED7D53">
        <w:rPr>
          <w:lang w:val="en-US"/>
        </w:rPr>
        <w:t>[</w:t>
      </w:r>
      <w:r w:rsidR="00115EFA" w:rsidRPr="003301EC">
        <w:rPr>
          <w:lang w:val="en-US"/>
        </w:rPr>
        <w:t>3</w:t>
      </w:r>
      <w:r w:rsidR="00ED7D53">
        <w:rPr>
          <w:lang w:val="en-US"/>
        </w:rPr>
        <w:t xml:space="preserve">], </w:t>
      </w:r>
      <w:r w:rsidR="00984C50">
        <w:rPr>
          <w:lang w:val="en-US"/>
        </w:rPr>
        <w:t>t</w:t>
      </w:r>
      <w:r w:rsidR="00ED7D53">
        <w:rPr>
          <w:lang w:val="en-US"/>
        </w:rPr>
        <w:t xml:space="preserve">he DRS transmission opportunity window can be </w:t>
      </w:r>
      <w:r>
        <w:rPr>
          <w:lang w:val="en-US"/>
        </w:rPr>
        <w:t xml:space="preserve">up to </w:t>
      </w:r>
      <w:r w:rsidRPr="000E66B5">
        <w:rPr>
          <w:lang w:val="en-US"/>
        </w:rPr>
        <w:t>5ms</w:t>
      </w:r>
      <w:r w:rsidR="00984C50">
        <w:rPr>
          <w:lang w:val="en-US"/>
        </w:rPr>
        <w:t xml:space="preserve">, and </w:t>
      </w:r>
      <w:r w:rsidR="00115EFA">
        <w:rPr>
          <w:lang w:val="en-US"/>
        </w:rPr>
        <w:t xml:space="preserve">could </w:t>
      </w:r>
      <w:r>
        <w:rPr>
          <w:lang w:val="en-US"/>
        </w:rPr>
        <w:t>repeat periodically e.g. every 40</w:t>
      </w:r>
      <w:r w:rsidR="00984C50">
        <w:rPr>
          <w:lang w:val="en-US"/>
        </w:rPr>
        <w:t xml:space="preserve">, </w:t>
      </w:r>
      <w:r>
        <w:rPr>
          <w:lang w:val="en-US"/>
        </w:rPr>
        <w:t>80</w:t>
      </w:r>
      <w:r w:rsidR="00984C50">
        <w:rPr>
          <w:lang w:val="en-US"/>
        </w:rPr>
        <w:t xml:space="preserve"> or </w:t>
      </w:r>
      <w:r>
        <w:rPr>
          <w:lang w:val="en-US"/>
        </w:rPr>
        <w:t xml:space="preserve">160ms. The actual transmission of the DRS </w:t>
      </w:r>
      <w:r w:rsidR="00235906">
        <w:rPr>
          <w:lang w:val="en-US"/>
        </w:rPr>
        <w:t xml:space="preserve">can take from a few hundred microseconds to </w:t>
      </w:r>
      <w:r>
        <w:rPr>
          <w:lang w:val="en-US"/>
        </w:rPr>
        <w:t>1</w:t>
      </w:r>
      <w:r w:rsidR="00235906">
        <w:rPr>
          <w:lang w:val="en-US"/>
        </w:rPr>
        <w:t>-2</w:t>
      </w:r>
      <w:r>
        <w:rPr>
          <w:lang w:val="en-US"/>
        </w:rPr>
        <w:t>ms</w:t>
      </w:r>
      <w:r w:rsidR="00235906">
        <w:rPr>
          <w:lang w:val="en-US"/>
        </w:rPr>
        <w:t xml:space="preserve">, depending on the number of transmitted beams. </w:t>
      </w:r>
      <w:r>
        <w:rPr>
          <w:lang w:val="en-US"/>
        </w:rPr>
        <w:t xml:space="preserve"> </w:t>
      </w:r>
    </w:p>
    <w:p w14:paraId="4CC3C062" w14:textId="285CCE12" w:rsidR="00321192" w:rsidRPr="000E66B5" w:rsidRDefault="00321192" w:rsidP="00321192">
      <w:pPr>
        <w:ind w:left="567"/>
        <w:jc w:val="both"/>
        <w:rPr>
          <w:i/>
          <w:lang w:eastAsia="x-none"/>
        </w:rPr>
      </w:pPr>
      <w:r w:rsidRPr="000E66B5">
        <w:rPr>
          <w:i/>
          <w:lang w:eastAsia="x-none"/>
        </w:rPr>
        <w:t xml:space="preserve">For UE measurements, it is assumed that recurring transmissions of SSB/PBCH and RMSI will be available with possibly reduced opportunities due to LBT. </w:t>
      </w:r>
    </w:p>
    <w:p w14:paraId="17AF25A7" w14:textId="05364D54" w:rsidR="00321192" w:rsidRPr="00321192" w:rsidRDefault="00321192" w:rsidP="00321192">
      <w:pPr>
        <w:ind w:left="567"/>
        <w:jc w:val="both"/>
        <w:rPr>
          <w:i/>
          <w:lang w:eastAsia="x-none"/>
        </w:rPr>
      </w:pPr>
      <w:r w:rsidRPr="000E66B5">
        <w:rPr>
          <w:i/>
          <w:lang w:eastAsia="x-none"/>
        </w:rPr>
        <w:t>[…]</w:t>
      </w:r>
    </w:p>
    <w:p w14:paraId="3544387B" w14:textId="77777777" w:rsidR="00321192" w:rsidRPr="000E66B5" w:rsidRDefault="00321192" w:rsidP="00321192">
      <w:pPr>
        <w:ind w:left="567"/>
        <w:jc w:val="both"/>
        <w:rPr>
          <w:i/>
        </w:rPr>
      </w:pPr>
      <w:r w:rsidRPr="000E66B5">
        <w:rPr>
          <w:i/>
          <w:lang w:val="en-US"/>
        </w:rP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w:t>
      </w:r>
      <w:r w:rsidRPr="000E66B5">
        <w:rPr>
          <w:i/>
        </w:rPr>
        <w:t>The time-domain positions of the actually transmitted SS/PBCH blocks are selected from a set of Y candidate SS/PBCH block positions. Proposals for s</w:t>
      </w:r>
      <w:r w:rsidRPr="000E66B5">
        <w:rPr>
          <w:rFonts w:eastAsia="Batang"/>
          <w:i/>
        </w:rPr>
        <w:t>hift granularity between candidate time domain SSB positions/candidate groups of SSBs, d</w:t>
      </w:r>
      <w:r w:rsidRPr="000E66B5">
        <w:rPr>
          <w:i/>
        </w:rPr>
        <w:t xml:space="preserve">uration of DRS transmission window, and duration of the transmitted DRS within the window including SSBs and other multiplexed signals/channels, were discussed without reaching consensus, and can be considered further when specifications are developed.  </w:t>
      </w:r>
    </w:p>
    <w:p w14:paraId="12C55E77" w14:textId="77777777" w:rsidR="00321192" w:rsidRPr="001B297D" w:rsidRDefault="00321192" w:rsidP="00894805">
      <w:pPr>
        <w:jc w:val="both"/>
        <w:rPr>
          <w:lang w:val="en-US"/>
        </w:rPr>
      </w:pPr>
      <w:r w:rsidRPr="000E66B5">
        <w:rPr>
          <w:lang w:val="en-US"/>
        </w:rPr>
        <w:lastRenderedPageBreak/>
        <w:t>So, the NR SMTC framework will be reused in NR-U to handle the uncertainty introduced by LBT on the transmission of reference signals for mobility and RRM measurements.</w:t>
      </w:r>
    </w:p>
    <w:p w14:paraId="28685241" w14:textId="000D4321" w:rsidR="00AC1944" w:rsidRPr="00321192" w:rsidRDefault="00AC1944" w:rsidP="00321192">
      <w:pPr>
        <w:pStyle w:val="Doc-text2"/>
        <w:spacing w:after="180"/>
        <w:ind w:left="0" w:firstLine="0"/>
        <w:jc w:val="both"/>
        <w:rPr>
          <w:rFonts w:ascii="Times New Roman" w:hAnsi="Times New Roman"/>
          <w:lang w:val="en-US"/>
        </w:rPr>
      </w:pPr>
      <w:r w:rsidRPr="00321192">
        <w:rPr>
          <w:rFonts w:ascii="Times New Roman" w:hAnsi="Times New Roman"/>
          <w:lang w:val="en-US"/>
        </w:rPr>
        <w:t>In this contribution</w:t>
      </w:r>
      <w:r w:rsidR="00894805">
        <w:rPr>
          <w:rFonts w:ascii="Times New Roman" w:hAnsi="Times New Roman"/>
          <w:lang w:val="en-US"/>
        </w:rPr>
        <w:t xml:space="preserve">, </w:t>
      </w:r>
      <w:r w:rsidRPr="00321192">
        <w:rPr>
          <w:rFonts w:ascii="Times New Roman" w:hAnsi="Times New Roman"/>
          <w:lang w:val="en-US"/>
        </w:rPr>
        <w:t xml:space="preserve">we </w:t>
      </w:r>
      <w:r w:rsidR="00321192">
        <w:rPr>
          <w:rFonts w:ascii="Times New Roman" w:hAnsi="Times New Roman"/>
          <w:lang w:val="en-US"/>
        </w:rPr>
        <w:t xml:space="preserve">discuss </w:t>
      </w:r>
      <w:r w:rsidR="00894805">
        <w:rPr>
          <w:rFonts w:ascii="Times New Roman" w:hAnsi="Times New Roman"/>
          <w:lang w:val="en-US"/>
        </w:rPr>
        <w:t xml:space="preserve">some of the </w:t>
      </w:r>
      <w:r w:rsidR="00321192">
        <w:rPr>
          <w:rFonts w:ascii="Times New Roman" w:hAnsi="Times New Roman"/>
          <w:lang w:val="en-US"/>
        </w:rPr>
        <w:t>UE limitations during SMTC</w:t>
      </w:r>
      <w:r w:rsidR="00894805">
        <w:rPr>
          <w:rFonts w:ascii="Times New Roman" w:hAnsi="Times New Roman"/>
          <w:lang w:val="en-US"/>
        </w:rPr>
        <w:t xml:space="preserve">, </w:t>
      </w:r>
      <w:r w:rsidR="00321192">
        <w:rPr>
          <w:rFonts w:ascii="Times New Roman" w:hAnsi="Times New Roman"/>
          <w:lang w:val="en-US"/>
        </w:rPr>
        <w:t>and propose that RAN2 discuss</w:t>
      </w:r>
      <w:r w:rsidR="00894805">
        <w:rPr>
          <w:rFonts w:ascii="Times New Roman" w:hAnsi="Times New Roman"/>
          <w:lang w:val="en-US"/>
        </w:rPr>
        <w:t>es</w:t>
      </w:r>
      <w:r w:rsidR="00321192">
        <w:rPr>
          <w:rFonts w:ascii="Times New Roman" w:hAnsi="Times New Roman"/>
          <w:lang w:val="en-US"/>
        </w:rPr>
        <w:t xml:space="preserve"> </w:t>
      </w:r>
      <w:r w:rsidR="00CA20E0">
        <w:rPr>
          <w:rFonts w:ascii="Times New Roman" w:hAnsi="Times New Roman"/>
          <w:lang w:val="en-US"/>
        </w:rPr>
        <w:t xml:space="preserve">if </w:t>
      </w:r>
      <w:r w:rsidR="00321192">
        <w:rPr>
          <w:rFonts w:ascii="Times New Roman" w:hAnsi="Times New Roman"/>
          <w:lang w:val="en-US"/>
        </w:rPr>
        <w:t xml:space="preserve">enhancements </w:t>
      </w:r>
      <w:r w:rsidR="00CA20E0">
        <w:rPr>
          <w:rFonts w:ascii="Times New Roman" w:hAnsi="Times New Roman"/>
          <w:lang w:val="en-US"/>
        </w:rPr>
        <w:t>are needed</w:t>
      </w:r>
      <w:r w:rsidR="00894805">
        <w:rPr>
          <w:rFonts w:ascii="Times New Roman" w:hAnsi="Times New Roman"/>
          <w:lang w:val="en-US"/>
        </w:rPr>
        <w:t xml:space="preserve"> to overcome these limitations, </w:t>
      </w:r>
      <w:r w:rsidR="00321192">
        <w:rPr>
          <w:rFonts w:ascii="Times New Roman" w:hAnsi="Times New Roman"/>
          <w:lang w:val="en-US"/>
        </w:rPr>
        <w:t xml:space="preserve">or at least </w:t>
      </w:r>
      <w:r w:rsidR="00CA20E0">
        <w:rPr>
          <w:rFonts w:ascii="Times New Roman" w:hAnsi="Times New Roman"/>
          <w:lang w:val="en-US"/>
        </w:rPr>
        <w:t>if the UE behavior during SMTC should be more clearly specified for NR-U</w:t>
      </w:r>
      <w:r w:rsidRPr="00321192">
        <w:rPr>
          <w:rFonts w:ascii="Times New Roman" w:hAnsi="Times New Roman"/>
          <w:lang w:val="en-US"/>
        </w:rPr>
        <w:t xml:space="preserve">. </w:t>
      </w:r>
    </w:p>
    <w:p w14:paraId="452847AD" w14:textId="30017582" w:rsidR="00AC1944" w:rsidRDefault="00AC1944" w:rsidP="00AC1944">
      <w:pPr>
        <w:pStyle w:val="Heading1"/>
      </w:pPr>
      <w:r>
        <w:t>2</w:t>
      </w:r>
      <w:r>
        <w:tab/>
      </w:r>
      <w:r w:rsidR="00DC3388">
        <w:t>Discussion</w:t>
      </w:r>
      <w:r>
        <w:t xml:space="preserve"> </w:t>
      </w:r>
    </w:p>
    <w:p w14:paraId="441D5C7D" w14:textId="402DB353" w:rsidR="00D0432D" w:rsidRDefault="00984C50" w:rsidP="00AF1D40">
      <w:pPr>
        <w:jc w:val="both"/>
      </w:pPr>
      <w:bookmarkStart w:id="0" w:name="_Hlk963516"/>
      <w:r>
        <w:t>In RRC connected mode, t</w:t>
      </w:r>
      <w:r w:rsidRPr="000E66B5">
        <w:t xml:space="preserve">he </w:t>
      </w:r>
      <w:r w:rsidR="00321192" w:rsidRPr="000E66B5">
        <w:t xml:space="preserve">SMTC </w:t>
      </w:r>
      <w:r w:rsidR="00642D09">
        <w:t xml:space="preserve">is </w:t>
      </w:r>
      <w:r w:rsidR="00321192" w:rsidRPr="000E66B5">
        <w:t xml:space="preserve">configured to the UE </w:t>
      </w:r>
      <w:r w:rsidR="00642D09">
        <w:t xml:space="preserve">as part of </w:t>
      </w:r>
      <w:r w:rsidR="00321192" w:rsidRPr="000E66B5">
        <w:t xml:space="preserve">the measurement object configuration. The UE performs </w:t>
      </w:r>
      <w:r>
        <w:t xml:space="preserve">SSB-based </w:t>
      </w:r>
      <w:r w:rsidR="00321192" w:rsidRPr="000E66B5">
        <w:t>neighbour cell measurements during the SMTC. In the measurement object configuration, the gNB may also provide a list of cells</w:t>
      </w:r>
      <w:r w:rsidR="00642D09">
        <w:t xml:space="preserve"> </w:t>
      </w:r>
      <w:r w:rsidR="00321192" w:rsidRPr="000E66B5">
        <w:t xml:space="preserve">and/or SSBs to measure. For measurements of unlicensed cells, the SMTC needs to </w:t>
      </w:r>
      <w:r w:rsidR="00642D09">
        <w:t xml:space="preserve">overlap with the candidate </w:t>
      </w:r>
      <w:r w:rsidR="00642D09" w:rsidRPr="000E66B5">
        <w:t>SS/PBCH block positions</w:t>
      </w:r>
      <w:r>
        <w:t xml:space="preserve"> of </w:t>
      </w:r>
      <w:r w:rsidR="00D0432D">
        <w:t xml:space="preserve">the </w:t>
      </w:r>
      <w:r>
        <w:t>neighbour cells</w:t>
      </w:r>
      <w:r w:rsidR="00642D09">
        <w:t xml:space="preserve">, </w:t>
      </w:r>
      <w:r>
        <w:t xml:space="preserve">i.e. with </w:t>
      </w:r>
      <w:r w:rsidR="00D0432D">
        <w:t>the</w:t>
      </w:r>
      <w:r w:rsidR="00115EFA">
        <w:t>ir</w:t>
      </w:r>
      <w:r w:rsidR="00D0432D">
        <w:t xml:space="preserve"> </w:t>
      </w:r>
      <w:r w:rsidR="00321192" w:rsidRPr="000E66B5">
        <w:t xml:space="preserve">DRS transmission </w:t>
      </w:r>
      <w:r w:rsidR="00642D09">
        <w:t xml:space="preserve">opportunity </w:t>
      </w:r>
      <w:r w:rsidR="00321192" w:rsidRPr="000E66B5">
        <w:t>window</w:t>
      </w:r>
      <w:r w:rsidR="00866D7A">
        <w:t xml:space="preserve">. </w:t>
      </w:r>
      <w:r w:rsidR="00321192" w:rsidRPr="000E66B5">
        <w:t xml:space="preserve">On the other hand, to provide more transmission opportunities for the DRS, candidate SS/PBCH block positions </w:t>
      </w:r>
      <w:r w:rsidR="00D0432D">
        <w:t xml:space="preserve">in NR-U </w:t>
      </w:r>
      <w:r w:rsidR="00866D7A">
        <w:t xml:space="preserve">can span over a time window of up to </w:t>
      </w:r>
      <w:r w:rsidR="00321192" w:rsidRPr="000E66B5">
        <w:t xml:space="preserve">5ms. </w:t>
      </w:r>
      <w:r w:rsidR="00866D7A">
        <w:t>This means</w:t>
      </w:r>
      <w:r>
        <w:t xml:space="preserve">, </w:t>
      </w:r>
      <w:r w:rsidR="00321192" w:rsidRPr="000E66B5">
        <w:t xml:space="preserve">the </w:t>
      </w:r>
      <w:r w:rsidR="00D0432D">
        <w:t xml:space="preserve">duration of the </w:t>
      </w:r>
      <w:r w:rsidR="00321192" w:rsidRPr="000E66B5">
        <w:t xml:space="preserve">configured SMTC to perform neighbour cell measurements (both intra- and inter-frequency) can be </w:t>
      </w:r>
      <w:r w:rsidR="00D0432D">
        <w:t>up to</w:t>
      </w:r>
      <w:r w:rsidR="00321192" w:rsidRPr="000E66B5">
        <w:t xml:space="preserve"> 5ms</w:t>
      </w:r>
      <w:r w:rsidR="00361620">
        <w:t xml:space="preserve">, at least </w:t>
      </w:r>
      <w:r w:rsidR="00321192" w:rsidRPr="000E66B5">
        <w:t>for synchron</w:t>
      </w:r>
      <w:r w:rsidR="00361620">
        <w:t>ized</w:t>
      </w:r>
      <w:r w:rsidR="00321192" w:rsidRPr="000E66B5">
        <w:t xml:space="preserve"> </w:t>
      </w:r>
      <w:r w:rsidR="00361620">
        <w:t xml:space="preserve">network </w:t>
      </w:r>
      <w:r w:rsidR="00321192" w:rsidRPr="000E66B5">
        <w:t>deployments. For asynchron</w:t>
      </w:r>
      <w:r w:rsidR="00361620">
        <w:t>ized</w:t>
      </w:r>
      <w:r w:rsidR="00321192" w:rsidRPr="000E66B5">
        <w:t xml:space="preserve"> deployments, </w:t>
      </w:r>
      <w:r w:rsidR="00866D7A">
        <w:t xml:space="preserve">the duration of the </w:t>
      </w:r>
      <w:r w:rsidR="00321192" w:rsidRPr="000E66B5">
        <w:t xml:space="preserve">SMTC may </w:t>
      </w:r>
      <w:r w:rsidR="00EB27EF">
        <w:t xml:space="preserve">need to </w:t>
      </w:r>
      <w:r w:rsidR="00321192" w:rsidRPr="000E66B5">
        <w:t xml:space="preserve">be even larger </w:t>
      </w:r>
      <w:r w:rsidR="00361620">
        <w:t>[</w:t>
      </w:r>
      <w:r w:rsidR="005A4415" w:rsidRPr="003301EC">
        <w:t>4</w:t>
      </w:r>
      <w:r w:rsidR="00361620">
        <w:t>]</w:t>
      </w:r>
      <w:r w:rsidR="00866D7A">
        <w:t>.</w:t>
      </w:r>
      <w:r w:rsidR="00235906">
        <w:t xml:space="preserve"> </w:t>
      </w:r>
    </w:p>
    <w:p w14:paraId="37E7E449" w14:textId="307EB1AD" w:rsidR="00AF1D40" w:rsidRPr="00AF1D40" w:rsidRDefault="00D0432D" w:rsidP="00AF1D40">
      <w:pPr>
        <w:jc w:val="both"/>
        <w:rPr>
          <w:b/>
          <w:i/>
        </w:rPr>
      </w:pPr>
      <w:r>
        <w:t xml:space="preserve">NR-U is expected to operate with </w:t>
      </w:r>
      <w:r w:rsidRPr="00D166AC">
        <w:rPr>
          <w:lang w:val="en-US"/>
        </w:rPr>
        <w:t>asynchronized</w:t>
      </w:r>
      <w:r>
        <w:t xml:space="preserve"> TDD. In this context, by asynchronized TDD</w:t>
      </w:r>
      <w:r w:rsidR="00115EFA">
        <w:t xml:space="preserve">, </w:t>
      </w:r>
      <w:r>
        <w:t>we mean that UL/DL transmissions in neighbour cells may not be coordinated. This is primarily due to the unpredictable impact of LBT, which can prevent</w:t>
      </w:r>
      <w:r w:rsidR="00115EFA">
        <w:t>/</w:t>
      </w:r>
      <w:r>
        <w:t xml:space="preserve">delay transmissions differently in neighbour cells. In this case, there is a </w:t>
      </w:r>
      <w:r w:rsidR="00115EFA">
        <w:t>significant</w:t>
      </w:r>
      <w:r>
        <w:t xml:space="preserve"> risk that intra frequency neighbour cell measurements </w:t>
      </w:r>
      <w:r w:rsidR="00115EFA">
        <w:t xml:space="preserve">can </w:t>
      </w:r>
      <w:r>
        <w:t>collide with UE UL transmissions (on data and/or control channel) on the serving cell.</w:t>
      </w:r>
    </w:p>
    <w:p w14:paraId="5C9C8E3E" w14:textId="1F5E0A45" w:rsidR="00AF1D40" w:rsidRPr="009869FD" w:rsidRDefault="00AF1D40" w:rsidP="00866D7A">
      <w:pPr>
        <w:jc w:val="both"/>
        <w:rPr>
          <w:b/>
          <w:i/>
        </w:rPr>
      </w:pPr>
      <w:r w:rsidRPr="009869FD">
        <w:rPr>
          <w:b/>
          <w:i/>
        </w:rPr>
        <w:t xml:space="preserve">Observation </w:t>
      </w:r>
      <w:r w:rsidR="009869FD" w:rsidRPr="009869FD">
        <w:rPr>
          <w:b/>
          <w:i/>
        </w:rPr>
        <w:t>1</w:t>
      </w:r>
      <w:r w:rsidRPr="009869FD">
        <w:rPr>
          <w:b/>
          <w:i/>
        </w:rPr>
        <w:t xml:space="preserve">: </w:t>
      </w:r>
      <w:r w:rsidR="009869FD">
        <w:rPr>
          <w:b/>
          <w:i/>
        </w:rPr>
        <w:t>T</w:t>
      </w:r>
      <w:r w:rsidR="009869FD" w:rsidRPr="009869FD">
        <w:rPr>
          <w:b/>
          <w:i/>
        </w:rPr>
        <w:t>he</w:t>
      </w:r>
      <w:r w:rsidR="006B0CD1">
        <w:rPr>
          <w:b/>
          <w:i/>
        </w:rPr>
        <w:t xml:space="preserve"> </w:t>
      </w:r>
      <w:r w:rsidR="009869FD" w:rsidRPr="009869FD">
        <w:rPr>
          <w:b/>
          <w:i/>
        </w:rPr>
        <w:t xml:space="preserve">uncertainty introduced by LBT </w:t>
      </w:r>
      <w:r w:rsidR="009869FD">
        <w:rPr>
          <w:b/>
          <w:i/>
        </w:rPr>
        <w:t xml:space="preserve">in </w:t>
      </w:r>
      <w:r w:rsidR="006B0CD1">
        <w:rPr>
          <w:b/>
          <w:i/>
        </w:rPr>
        <w:t xml:space="preserve">the transmission of discovery reference signals in </w:t>
      </w:r>
      <w:r w:rsidR="009869FD">
        <w:rPr>
          <w:b/>
          <w:i/>
        </w:rPr>
        <w:t xml:space="preserve">unlicensed spectrum </w:t>
      </w:r>
      <w:r w:rsidR="009869FD" w:rsidRPr="009869FD">
        <w:rPr>
          <w:b/>
          <w:i/>
        </w:rPr>
        <w:t>increas</w:t>
      </w:r>
      <w:r w:rsidR="009869FD">
        <w:rPr>
          <w:b/>
          <w:i/>
        </w:rPr>
        <w:t>es</w:t>
      </w:r>
      <w:r w:rsidR="009869FD" w:rsidRPr="009869FD">
        <w:rPr>
          <w:b/>
          <w:i/>
        </w:rPr>
        <w:t xml:space="preserve"> the likelihood that </w:t>
      </w:r>
      <w:r w:rsidR="009869FD" w:rsidRPr="0085390C">
        <w:rPr>
          <w:b/>
          <w:i/>
        </w:rPr>
        <w:t>intra frequency neighbour cell measurements may collide with UE UL transmissions</w:t>
      </w:r>
      <w:r w:rsidR="009869FD">
        <w:rPr>
          <w:b/>
          <w:i/>
        </w:rPr>
        <w:t xml:space="preserve"> </w:t>
      </w:r>
      <w:r w:rsidR="00321192" w:rsidRPr="009869FD">
        <w:rPr>
          <w:b/>
          <w:i/>
        </w:rPr>
        <w:t>on the serving cell</w:t>
      </w:r>
      <w:r w:rsidR="006B0CD1">
        <w:rPr>
          <w:b/>
          <w:i/>
        </w:rPr>
        <w:t>, even in a synchronized network deployment</w:t>
      </w:r>
      <w:r w:rsidR="00321192" w:rsidRPr="009869FD">
        <w:rPr>
          <w:b/>
          <w:i/>
        </w:rPr>
        <w:t>.</w:t>
      </w:r>
    </w:p>
    <w:p w14:paraId="4077CD4F" w14:textId="0B050365" w:rsidR="00ED7D53" w:rsidRDefault="00D0432D" w:rsidP="00D0432D">
      <w:pPr>
        <w:jc w:val="both"/>
        <w:rPr>
          <w:rFonts w:cs="Arial"/>
          <w:szCs w:val="22"/>
        </w:rPr>
      </w:pPr>
      <w:r>
        <w:rPr>
          <w:rFonts w:cs="Arial"/>
          <w:szCs w:val="22"/>
          <w:lang w:eastAsia="zh-CN"/>
        </w:rPr>
        <w:t>For intra-frequency measurements, i</w:t>
      </w:r>
      <w:r w:rsidR="00ED7D53" w:rsidRPr="009A701D">
        <w:rPr>
          <w:rFonts w:cs="Arial"/>
          <w:szCs w:val="22"/>
          <w:lang w:eastAsia="zh-CN"/>
        </w:rPr>
        <w:t>n TS 38.133</w:t>
      </w:r>
      <w:r w:rsidR="00ED7D53">
        <w:rPr>
          <w:rFonts w:cs="Arial"/>
          <w:szCs w:val="22"/>
          <w:lang w:eastAsia="zh-CN"/>
        </w:rPr>
        <w:t xml:space="preserve">, clause 9.2.5.3, </w:t>
      </w:r>
      <w:r w:rsidR="00ED7D53" w:rsidRPr="009A701D">
        <w:rPr>
          <w:rFonts w:cs="Arial"/>
          <w:szCs w:val="22"/>
          <w:lang w:eastAsia="zh-CN"/>
        </w:rPr>
        <w:t xml:space="preserve">it is specified that </w:t>
      </w:r>
      <w:r w:rsidR="00ED7D53">
        <w:rPr>
          <w:rFonts w:cs="Arial"/>
          <w:szCs w:val="22"/>
          <w:lang w:eastAsia="zh-CN"/>
        </w:rPr>
        <w:t xml:space="preserve">a </w:t>
      </w:r>
      <w:r w:rsidR="00ED7D53" w:rsidRPr="009A701D">
        <w:rPr>
          <w:rFonts w:cs="Arial"/>
          <w:szCs w:val="22"/>
          <w:lang w:eastAsia="zh-CN"/>
        </w:rPr>
        <w:t xml:space="preserve">UE </w:t>
      </w:r>
      <w:r w:rsidR="00ED7D53">
        <w:rPr>
          <w:rFonts w:cs="Arial"/>
          <w:szCs w:val="22"/>
          <w:lang w:eastAsia="zh-CN"/>
        </w:rPr>
        <w:t xml:space="preserve">is </w:t>
      </w:r>
      <w:r w:rsidR="00ED7D53" w:rsidRPr="009A701D">
        <w:rPr>
          <w:rFonts w:cs="Arial"/>
          <w:szCs w:val="22"/>
          <w:lang w:eastAsia="zh-CN"/>
        </w:rPr>
        <w:t xml:space="preserve">required to be capable of measuring without measurement gaps when the SSB is completely contained in the active bandwidth part of the UE. When the measurement signal has </w:t>
      </w:r>
      <w:r w:rsidR="00ED7D53" w:rsidRPr="009A701D">
        <w:rPr>
          <w:rFonts w:cs="Arial"/>
          <w:szCs w:val="22"/>
        </w:rPr>
        <w:t xml:space="preserve">different subcarrier spacing than PDSCH/PDCCH </w:t>
      </w:r>
      <w:r>
        <w:rPr>
          <w:rFonts w:cs="Arial"/>
          <w:szCs w:val="22"/>
        </w:rPr>
        <w:t xml:space="preserve">or </w:t>
      </w:r>
      <w:r w:rsidR="00ED7D53" w:rsidRPr="009A701D">
        <w:rPr>
          <w:rFonts w:cs="Arial"/>
          <w:szCs w:val="22"/>
        </w:rPr>
        <w:t xml:space="preserve">on frequency range FR2, there </w:t>
      </w:r>
      <w:r w:rsidR="00ED7D53">
        <w:rPr>
          <w:rFonts w:cs="Arial"/>
          <w:szCs w:val="22"/>
        </w:rPr>
        <w:t xml:space="preserve">can be some </w:t>
      </w:r>
      <w:r w:rsidR="00ED7D53" w:rsidRPr="009A701D">
        <w:rPr>
          <w:rFonts w:cs="Arial"/>
          <w:szCs w:val="22"/>
        </w:rPr>
        <w:t>restrictions on the scheduling availability</w:t>
      </w:r>
      <w:r w:rsidR="00ED7D53">
        <w:rPr>
          <w:rFonts w:cs="Arial"/>
          <w:szCs w:val="22"/>
        </w:rPr>
        <w:t xml:space="preserve">. </w:t>
      </w:r>
      <w:r w:rsidR="00ED7D53">
        <w:rPr>
          <w:rFonts w:cs="Arial"/>
          <w:szCs w:val="22"/>
          <w:lang w:eastAsia="zh-CN"/>
        </w:rPr>
        <w:t xml:space="preserve">However, </w:t>
      </w:r>
      <w:r w:rsidR="00ED7D53">
        <w:rPr>
          <w:rFonts w:cs="Arial"/>
          <w:szCs w:val="22"/>
        </w:rPr>
        <w:t>t</w:t>
      </w:r>
      <w:r w:rsidR="00ED7D53" w:rsidRPr="009A701D">
        <w:rPr>
          <w:rFonts w:cs="Arial"/>
          <w:szCs w:val="22"/>
        </w:rPr>
        <w:t>here are no scheduling restrictions due to measurements performed with a same subcarrier spacing as PDSCH/PDCCH on FR1.</w:t>
      </w:r>
    </w:p>
    <w:p w14:paraId="7BE56FD4" w14:textId="3624D6D4" w:rsidR="00D0432D" w:rsidRDefault="00ED7D53" w:rsidP="00D0432D">
      <w:pPr>
        <w:jc w:val="both"/>
      </w:pPr>
      <w:r>
        <w:rPr>
          <w:rFonts w:cs="Arial"/>
          <w:szCs w:val="22"/>
          <w:lang w:eastAsia="zh-CN"/>
        </w:rPr>
        <w:t>On the other hand, in 38.213,</w:t>
      </w:r>
      <w:r w:rsidR="005A4415">
        <w:rPr>
          <w:rFonts w:cs="Arial"/>
          <w:szCs w:val="22"/>
          <w:lang w:eastAsia="zh-CN"/>
        </w:rPr>
        <w:t xml:space="preserve"> clause 11.1.1, </w:t>
      </w:r>
      <w:r>
        <w:rPr>
          <w:rFonts w:cs="Arial"/>
          <w:szCs w:val="22"/>
          <w:lang w:eastAsia="zh-CN"/>
        </w:rPr>
        <w:t>it is specified that “</w:t>
      </w:r>
      <w:r w:rsidRPr="00D0432D">
        <w:rPr>
          <w:i/>
          <w:lang w:val="en-US"/>
        </w:rPr>
        <w:t xml:space="preserve">For unpaired spectrum operation for a UE on a cell in a frequency band of FR1, </w:t>
      </w:r>
      <w:r w:rsidRPr="00D0432D">
        <w:rPr>
          <w:i/>
          <w:color w:val="000000" w:themeColor="text1"/>
        </w:rPr>
        <w:t>and when the scheduling restrictions due to RRM measurements [10, TS</w:t>
      </w:r>
      <w:r w:rsidRPr="00D0432D">
        <w:rPr>
          <w:i/>
          <w:color w:val="000000" w:themeColor="text1"/>
          <w:lang w:val="en-US"/>
        </w:rPr>
        <w:t xml:space="preserve"> </w:t>
      </w:r>
      <w:r w:rsidRPr="00D0432D">
        <w:rPr>
          <w:i/>
          <w:color w:val="000000" w:themeColor="text1"/>
        </w:rPr>
        <w:t>38.133] are not applicable,</w:t>
      </w:r>
      <w:r w:rsidRPr="00D0432D">
        <w:rPr>
          <w:i/>
          <w:color w:val="000000" w:themeColor="text1"/>
          <w:lang w:val="en-US"/>
        </w:rPr>
        <w:t xml:space="preserve"> </w:t>
      </w:r>
      <w:r w:rsidRPr="00D0432D">
        <w:rPr>
          <w:i/>
        </w:rPr>
        <w:t xml:space="preserve">if the UE detects a DCI format 0_0, DCI format 0_1, DCI format 1_0, DCI format 1_1, or DCI format 2_3 indicating to the UE to transmit in a set of symbols, the UE is not required to perform </w:t>
      </w:r>
      <w:r w:rsidRPr="00D0432D">
        <w:rPr>
          <w:i/>
          <w:lang w:eastAsia="ja-JP"/>
        </w:rPr>
        <w:t xml:space="preserve">RRM measurements </w:t>
      </w:r>
      <w:r w:rsidRPr="00D0432D">
        <w:rPr>
          <w:i/>
        </w:rPr>
        <w:t xml:space="preserve">[10, TS 38.133] </w:t>
      </w:r>
      <w:r w:rsidRPr="00D0432D">
        <w:rPr>
          <w:i/>
          <w:lang w:val="en-US"/>
        </w:rPr>
        <w:t xml:space="preserve">based on a SS/PBCH block or CSI-RS reception on a different cell in the frequency band </w:t>
      </w:r>
      <w:r w:rsidRPr="00D0432D">
        <w:rPr>
          <w:i/>
        </w:rPr>
        <w:t xml:space="preserve">if the </w:t>
      </w:r>
      <w:bookmarkStart w:id="1" w:name="_Hlk5958833"/>
      <w:r w:rsidRPr="00D0432D">
        <w:rPr>
          <w:i/>
        </w:rPr>
        <w:t xml:space="preserve">SS/PBCH </w:t>
      </w:r>
      <w:r w:rsidRPr="00D0432D">
        <w:rPr>
          <w:i/>
          <w:lang w:val="en-US"/>
        </w:rPr>
        <w:t xml:space="preserve">block </w:t>
      </w:r>
      <w:bookmarkEnd w:id="1"/>
      <w:r w:rsidRPr="00D0432D">
        <w:rPr>
          <w:i/>
        </w:rPr>
        <w:t>or CSI-RS reception includes at least one symbol from the set of symbols.</w:t>
      </w:r>
      <w:r>
        <w:t xml:space="preserve">” </w:t>
      </w:r>
    </w:p>
    <w:p w14:paraId="3581D027" w14:textId="77777777" w:rsidR="009869FD" w:rsidRDefault="00ED7D53" w:rsidP="0085390C">
      <w:pPr>
        <w:jc w:val="both"/>
      </w:pPr>
      <w:bookmarkStart w:id="2" w:name="_Hlk7452869"/>
      <w:r>
        <w:t xml:space="preserve">This means, in baseline Rel-15 NR, </w:t>
      </w:r>
      <w:r w:rsidRPr="00D0432D">
        <w:t>UL transmissions have priority over RRM measurements.</w:t>
      </w:r>
      <w:r>
        <w:t xml:space="preserve"> If the same is assumed in NR-U, the gNB </w:t>
      </w:r>
      <w:r w:rsidR="009869FD">
        <w:t>i</w:t>
      </w:r>
      <w:r>
        <w:t>ssu</w:t>
      </w:r>
      <w:r w:rsidR="009869FD">
        <w:t xml:space="preserve">ing a scheduling grant </w:t>
      </w:r>
      <w:r>
        <w:t>indicating to the UE to transmit in UL during the SMTC</w:t>
      </w:r>
      <w:r w:rsidR="009869FD">
        <w:t xml:space="preserve"> will come at the </w:t>
      </w:r>
      <w:r>
        <w:t>cost of degrading the RRM measurement accuracy, hence the mobility performance.</w:t>
      </w:r>
      <w:r w:rsidR="009869FD">
        <w:t xml:space="preserve"> </w:t>
      </w:r>
      <w:r w:rsidR="009869FD" w:rsidRPr="000E66B5">
        <w:t xml:space="preserve">So, even if </w:t>
      </w:r>
      <w:r w:rsidR="009869FD">
        <w:t xml:space="preserve">a </w:t>
      </w:r>
      <w:r w:rsidR="009869FD" w:rsidRPr="000E66B5">
        <w:t xml:space="preserve">UE has successfully measured the neighbour cells for which a measurement object has been configured long before the end of the SMTC, the serving cell most likely </w:t>
      </w:r>
      <w:r w:rsidR="009869FD">
        <w:t xml:space="preserve">will not </w:t>
      </w:r>
      <w:r w:rsidR="009869FD" w:rsidRPr="000E66B5">
        <w:t xml:space="preserve">schedule any UL transmission whose starting position happens to be before the end of the SMTC because it assumes the UE is measuring for the </w:t>
      </w:r>
      <w:r w:rsidR="009869FD">
        <w:t xml:space="preserve">entire </w:t>
      </w:r>
      <w:r w:rsidR="009869FD" w:rsidRPr="000E66B5">
        <w:t>duration of the SMTC, and as such the UE is not able to transmit.</w:t>
      </w:r>
    </w:p>
    <w:p w14:paraId="1541C8D1" w14:textId="580BBAD6" w:rsidR="009869FD" w:rsidRPr="0085390C" w:rsidRDefault="009869FD" w:rsidP="0085390C">
      <w:pPr>
        <w:jc w:val="both"/>
        <w:rPr>
          <w:b/>
        </w:rPr>
      </w:pPr>
      <w:r w:rsidRPr="006B0CD1">
        <w:rPr>
          <w:b/>
          <w:i/>
        </w:rPr>
        <w:t xml:space="preserve">Observation </w:t>
      </w:r>
      <w:r w:rsidR="006B0CD1" w:rsidRPr="006B0CD1">
        <w:rPr>
          <w:b/>
          <w:i/>
        </w:rPr>
        <w:t>2</w:t>
      </w:r>
      <w:r w:rsidRPr="006B0CD1">
        <w:rPr>
          <w:b/>
          <w:i/>
        </w:rPr>
        <w:t xml:space="preserve">: </w:t>
      </w:r>
      <w:r w:rsidR="006B0CD1" w:rsidRPr="006B0CD1">
        <w:rPr>
          <w:b/>
          <w:i/>
        </w:rPr>
        <w:t xml:space="preserve">if the </w:t>
      </w:r>
      <w:r w:rsidR="006B0CD1">
        <w:rPr>
          <w:b/>
          <w:i/>
        </w:rPr>
        <w:t xml:space="preserve">current UE behaviour as specified in 3GPP TS </w:t>
      </w:r>
      <w:r w:rsidR="006B0CD1" w:rsidRPr="0085390C">
        <w:rPr>
          <w:rFonts w:cs="Arial"/>
          <w:b/>
          <w:i/>
          <w:szCs w:val="22"/>
          <w:lang w:eastAsia="zh-CN"/>
        </w:rPr>
        <w:t>38.213</w:t>
      </w:r>
      <w:r w:rsidR="006B0CD1">
        <w:rPr>
          <w:rFonts w:cs="Arial"/>
          <w:b/>
          <w:i/>
          <w:szCs w:val="22"/>
          <w:lang w:eastAsia="zh-CN"/>
        </w:rPr>
        <w:t>, clause 11.1.1, is confirmed for NR-U,</w:t>
      </w:r>
      <w:r w:rsidR="0035622A">
        <w:rPr>
          <w:rFonts w:cs="Arial"/>
          <w:b/>
          <w:i/>
          <w:szCs w:val="22"/>
          <w:lang w:eastAsia="zh-CN"/>
        </w:rPr>
        <w:t xml:space="preserve"> scheduling of uplink transmission during the SMTC may result in degraded RRM measurements performance</w:t>
      </w:r>
      <w:r w:rsidR="00C42BCE">
        <w:rPr>
          <w:rFonts w:cs="Arial"/>
          <w:b/>
          <w:i/>
          <w:szCs w:val="22"/>
          <w:lang w:eastAsia="zh-CN"/>
        </w:rPr>
        <w:t xml:space="preserve"> and thus most likely the gNB will not schedule any uplink transmissions during SMTC for the UE</w:t>
      </w:r>
      <w:r w:rsidR="0035622A">
        <w:rPr>
          <w:rFonts w:cs="Arial"/>
          <w:b/>
          <w:i/>
          <w:szCs w:val="22"/>
          <w:lang w:eastAsia="zh-CN"/>
        </w:rPr>
        <w:t xml:space="preserve">. </w:t>
      </w:r>
    </w:p>
    <w:bookmarkEnd w:id="2"/>
    <w:p w14:paraId="21857A97" w14:textId="3809245C" w:rsidR="00ED7D53" w:rsidRDefault="00D0432D" w:rsidP="6F90D836">
      <w:pPr>
        <w:jc w:val="both"/>
      </w:pPr>
      <w:r>
        <w:t xml:space="preserve">Also, </w:t>
      </w:r>
      <w:r w:rsidR="0035622A">
        <w:t xml:space="preserve">in current specifications it is unclear how the UE </w:t>
      </w:r>
      <w:r>
        <w:t xml:space="preserve">should </w:t>
      </w:r>
      <w:r w:rsidR="00B04CBF">
        <w:t xml:space="preserve">handle </w:t>
      </w:r>
      <w:r>
        <w:t xml:space="preserve">other UE-initiated UL transmissions (e.g. </w:t>
      </w:r>
      <w:r w:rsidR="009869FD">
        <w:t>PRACH, SR and UL transmissions using configured grants</w:t>
      </w:r>
      <w:r w:rsidR="00B04CBF">
        <w:t xml:space="preserve">) that may overlap </w:t>
      </w:r>
      <w:r w:rsidR="009869FD">
        <w:t>with the SMTC.</w:t>
      </w:r>
      <w:r w:rsidR="00B04CBF">
        <w:t xml:space="preserve"> The issue was partially raised by some companies </w:t>
      </w:r>
      <w:r w:rsidR="005A4415">
        <w:t xml:space="preserve">during </w:t>
      </w:r>
      <w:r w:rsidR="00B04CBF">
        <w:t xml:space="preserve">RAN1 </w:t>
      </w:r>
      <w:r w:rsidR="005A4415">
        <w:t>#96bis meeting (</w:t>
      </w:r>
      <w:r w:rsidR="00B04CBF" w:rsidRPr="6F90D836">
        <w:t>[</w:t>
      </w:r>
      <w:r w:rsidR="005A4415" w:rsidRPr="003301EC">
        <w:t>5</w:t>
      </w:r>
      <w:r w:rsidR="00B04CBF" w:rsidRPr="6F90D836">
        <w:t>]</w:t>
      </w:r>
      <w:r w:rsidR="005A4415" w:rsidRPr="6F90D836">
        <w:t xml:space="preserve">, </w:t>
      </w:r>
      <w:r w:rsidR="00B04CBF" w:rsidRPr="6F90D836">
        <w:t>[</w:t>
      </w:r>
      <w:r w:rsidR="005A4415" w:rsidRPr="003301EC">
        <w:t>6</w:t>
      </w:r>
      <w:r w:rsidR="00B04CBF" w:rsidRPr="6F90D836">
        <w:t>]</w:t>
      </w:r>
      <w:r w:rsidR="005A4415" w:rsidRPr="6F90D836">
        <w:t>)</w:t>
      </w:r>
      <w:r w:rsidR="00B04CBF">
        <w:t xml:space="preserve">, but nothing was discussed or agreed. </w:t>
      </w:r>
    </w:p>
    <w:p w14:paraId="32E25862" w14:textId="5C0C8F73" w:rsidR="00B04CBF" w:rsidRDefault="00B04CBF" w:rsidP="00D0432D">
      <w:pPr>
        <w:jc w:val="both"/>
      </w:pPr>
      <w:r w:rsidRPr="006B0CD1">
        <w:rPr>
          <w:b/>
          <w:i/>
        </w:rPr>
        <w:t xml:space="preserve">Observation </w:t>
      </w:r>
      <w:r w:rsidR="00C42BCE">
        <w:rPr>
          <w:b/>
          <w:i/>
        </w:rPr>
        <w:t>3</w:t>
      </w:r>
      <w:r w:rsidRPr="006B0CD1">
        <w:rPr>
          <w:b/>
          <w:i/>
        </w:rPr>
        <w:t xml:space="preserve">: </w:t>
      </w:r>
      <w:r>
        <w:rPr>
          <w:b/>
          <w:i/>
        </w:rPr>
        <w:t>UE behaviour in case of UE-initiated UL transmissions</w:t>
      </w:r>
      <w:r w:rsidR="005A4415">
        <w:rPr>
          <w:b/>
          <w:i/>
        </w:rPr>
        <w:t xml:space="preserve"> </w:t>
      </w:r>
      <w:r>
        <w:rPr>
          <w:b/>
          <w:i/>
        </w:rPr>
        <w:t>overlapping with the SMTC is unclear in current specifications</w:t>
      </w:r>
      <w:r>
        <w:rPr>
          <w:rFonts w:cs="Arial"/>
          <w:b/>
          <w:i/>
          <w:szCs w:val="22"/>
          <w:lang w:eastAsia="zh-CN"/>
        </w:rPr>
        <w:t>.</w:t>
      </w:r>
    </w:p>
    <w:p w14:paraId="773D7AF4" w14:textId="6E0884C6" w:rsidR="00CA20E0" w:rsidRDefault="00866D7A" w:rsidP="00AF1D40">
      <w:pPr>
        <w:spacing w:after="0"/>
        <w:jc w:val="both"/>
        <w:rPr>
          <w:rFonts w:cs="Arial"/>
        </w:rPr>
      </w:pPr>
      <w:r w:rsidRPr="00866D7A">
        <w:rPr>
          <w:rFonts w:cs="Arial"/>
        </w:rPr>
        <w:t xml:space="preserve">Though in principle this problem already exists in licensed spectrum, it becomes particularly </w:t>
      </w:r>
      <w:r>
        <w:rPr>
          <w:rFonts w:cs="Arial"/>
        </w:rPr>
        <w:t xml:space="preserve">relevant </w:t>
      </w:r>
      <w:r w:rsidRPr="00866D7A">
        <w:rPr>
          <w:rFonts w:cs="Arial"/>
        </w:rPr>
        <w:t>in unlicensed licensed spectrum</w:t>
      </w:r>
      <w:r>
        <w:rPr>
          <w:rFonts w:cs="Arial"/>
        </w:rPr>
        <w:t xml:space="preserve"> </w:t>
      </w:r>
      <w:r w:rsidRPr="00866D7A">
        <w:rPr>
          <w:rFonts w:cs="Arial"/>
        </w:rPr>
        <w:t>d</w:t>
      </w:r>
      <w:r w:rsidR="00321192" w:rsidRPr="00866D7A">
        <w:rPr>
          <w:rFonts w:cs="Arial"/>
        </w:rPr>
        <w:t xml:space="preserve">ue </w:t>
      </w:r>
      <w:r w:rsidR="00AF1D40">
        <w:rPr>
          <w:rFonts w:cs="Arial"/>
        </w:rPr>
        <w:t>to the extremely flexible TDD frame structure</w:t>
      </w:r>
      <w:r w:rsidR="00CA20E0">
        <w:rPr>
          <w:rFonts w:cs="Arial"/>
        </w:rPr>
        <w:t xml:space="preserve"> </w:t>
      </w:r>
      <w:r w:rsidR="00AF1D40">
        <w:rPr>
          <w:rFonts w:cs="Arial"/>
        </w:rPr>
        <w:t xml:space="preserve">and the </w:t>
      </w:r>
      <w:r w:rsidRPr="00866D7A">
        <w:rPr>
          <w:rFonts w:cs="Arial"/>
        </w:rPr>
        <w:t>uncertainty on when the reference signals for measurements are transmitted in neighbo</w:t>
      </w:r>
      <w:r>
        <w:rPr>
          <w:rFonts w:cs="Arial"/>
        </w:rPr>
        <w:t>u</w:t>
      </w:r>
      <w:r w:rsidRPr="00866D7A">
        <w:rPr>
          <w:rFonts w:cs="Arial"/>
        </w:rPr>
        <w:t>r cell</w:t>
      </w:r>
      <w:r w:rsidR="00AF1D40">
        <w:rPr>
          <w:rFonts w:cs="Arial"/>
        </w:rPr>
        <w:t xml:space="preserve">s. </w:t>
      </w:r>
      <w:r w:rsidR="00B04CBF">
        <w:rPr>
          <w:rFonts w:cs="Arial"/>
        </w:rPr>
        <w:t xml:space="preserve">RAN2 should </w:t>
      </w:r>
      <w:r w:rsidR="00D010CE">
        <w:rPr>
          <w:rFonts w:cs="Arial"/>
        </w:rPr>
        <w:t xml:space="preserve">therefore </w:t>
      </w:r>
      <w:r w:rsidR="00B04CBF">
        <w:rPr>
          <w:rFonts w:cs="Arial"/>
        </w:rPr>
        <w:t xml:space="preserve">clarify </w:t>
      </w:r>
      <w:r w:rsidR="00D010CE">
        <w:rPr>
          <w:rFonts w:cs="Arial"/>
        </w:rPr>
        <w:t xml:space="preserve">the </w:t>
      </w:r>
      <w:r w:rsidR="00B04CBF">
        <w:rPr>
          <w:rFonts w:cs="Arial"/>
        </w:rPr>
        <w:t xml:space="preserve">UE behaviour </w:t>
      </w:r>
      <w:r w:rsidR="00D010CE">
        <w:rPr>
          <w:rFonts w:cs="Arial"/>
        </w:rPr>
        <w:t xml:space="preserve">when </w:t>
      </w:r>
      <w:r w:rsidR="00B04CBF">
        <w:rPr>
          <w:rFonts w:cs="Arial"/>
        </w:rPr>
        <w:t xml:space="preserve">UL </w:t>
      </w:r>
      <w:r w:rsidR="00B04CBF">
        <w:rPr>
          <w:rFonts w:cs="Arial"/>
        </w:rPr>
        <w:lastRenderedPageBreak/>
        <w:t>transmission</w:t>
      </w:r>
      <w:r w:rsidR="00D010CE">
        <w:rPr>
          <w:rFonts w:cs="Arial"/>
        </w:rPr>
        <w:t>s</w:t>
      </w:r>
      <w:r w:rsidR="00B04CBF">
        <w:rPr>
          <w:rFonts w:cs="Arial"/>
        </w:rPr>
        <w:t xml:space="preserve"> </w:t>
      </w:r>
      <w:r w:rsidR="00D010CE">
        <w:rPr>
          <w:rFonts w:cs="Arial"/>
        </w:rPr>
        <w:t xml:space="preserve">are </w:t>
      </w:r>
      <w:r w:rsidR="00B04CBF">
        <w:rPr>
          <w:rFonts w:cs="Arial"/>
        </w:rPr>
        <w:t xml:space="preserve">overlapping with the SMTC, and possibly identify if enhancements are required to </w:t>
      </w:r>
      <w:r w:rsidR="00D010CE">
        <w:rPr>
          <w:rFonts w:cs="Arial"/>
        </w:rPr>
        <w:t xml:space="preserve">improve the trade-off between UL transmission flexibility and RRM measurement requirements in unlicensed spectrum. </w:t>
      </w:r>
    </w:p>
    <w:p w14:paraId="6AD83244" w14:textId="77777777" w:rsidR="00CA20E0" w:rsidRPr="00894805" w:rsidRDefault="00CA20E0" w:rsidP="00AF1D40">
      <w:pPr>
        <w:spacing w:after="0"/>
        <w:jc w:val="both"/>
        <w:rPr>
          <w:b/>
          <w:lang w:val="en-US"/>
        </w:rPr>
      </w:pPr>
    </w:p>
    <w:p w14:paraId="23D19AED" w14:textId="333FB0F2" w:rsidR="00672B75" w:rsidRPr="00235906" w:rsidRDefault="00CA20E0" w:rsidP="00235906">
      <w:pPr>
        <w:jc w:val="both"/>
        <w:rPr>
          <w:rFonts w:cs="Arial"/>
        </w:rPr>
      </w:pPr>
      <w:r w:rsidRPr="00894805">
        <w:rPr>
          <w:b/>
          <w:lang w:val="en-US"/>
        </w:rPr>
        <w:t>Pr</w:t>
      </w:r>
      <w:r w:rsidR="00235906" w:rsidRPr="00894805">
        <w:rPr>
          <w:b/>
          <w:lang w:val="en-US"/>
        </w:rPr>
        <w:t>o</w:t>
      </w:r>
      <w:r w:rsidRPr="00894805">
        <w:rPr>
          <w:b/>
          <w:lang w:val="en-US"/>
        </w:rPr>
        <w:t xml:space="preserve">posal </w:t>
      </w:r>
      <w:r w:rsidR="00D010CE">
        <w:rPr>
          <w:b/>
          <w:lang w:val="en-US"/>
        </w:rPr>
        <w:t>1</w:t>
      </w:r>
      <w:r w:rsidRPr="00894805">
        <w:rPr>
          <w:b/>
          <w:lang w:val="en-US"/>
        </w:rPr>
        <w:t xml:space="preserve">: RAN2 should discuss UE behavior </w:t>
      </w:r>
      <w:r w:rsidR="00D010CE">
        <w:rPr>
          <w:b/>
          <w:lang w:val="en-US"/>
        </w:rPr>
        <w:t xml:space="preserve">when </w:t>
      </w:r>
      <w:r w:rsidRPr="00894805">
        <w:rPr>
          <w:b/>
          <w:lang w:val="en-US"/>
        </w:rPr>
        <w:t xml:space="preserve">uplink transmissions </w:t>
      </w:r>
      <w:r w:rsidR="00D010CE">
        <w:rPr>
          <w:b/>
          <w:lang w:val="en-US"/>
        </w:rPr>
        <w:t xml:space="preserve">are overlapping with the </w:t>
      </w:r>
      <w:r w:rsidRPr="00894805">
        <w:rPr>
          <w:b/>
          <w:lang w:val="en-US"/>
        </w:rPr>
        <w:t>SMTC</w:t>
      </w:r>
      <w:r w:rsidR="00B04CBF">
        <w:rPr>
          <w:b/>
          <w:lang w:val="en-US"/>
        </w:rPr>
        <w:t xml:space="preserve">, and possibly identify if enhancements </w:t>
      </w:r>
      <w:r w:rsidR="00B839B4">
        <w:rPr>
          <w:b/>
          <w:lang w:val="en-US"/>
        </w:rPr>
        <w:t xml:space="preserve">are needed to improve </w:t>
      </w:r>
      <w:r w:rsidR="00D010CE">
        <w:rPr>
          <w:b/>
          <w:lang w:val="en-US"/>
        </w:rPr>
        <w:t>the trade-off</w:t>
      </w:r>
      <w:r w:rsidR="00D010CE" w:rsidRPr="00D010CE">
        <w:rPr>
          <w:rFonts w:cs="Arial"/>
        </w:rPr>
        <w:t xml:space="preserve"> </w:t>
      </w:r>
      <w:r w:rsidR="00D010CE" w:rsidRPr="00D010CE">
        <w:rPr>
          <w:rFonts w:cs="Arial"/>
          <w:b/>
        </w:rPr>
        <w:t>between UL transmission flexibility and RRM measurement requirements in unlicensed spectrum</w:t>
      </w:r>
      <w:r w:rsidR="00D010CE">
        <w:rPr>
          <w:rFonts w:cs="Arial"/>
          <w:b/>
        </w:rPr>
        <w:t>.</w:t>
      </w:r>
      <w:r>
        <w:rPr>
          <w:lang w:val="en-US"/>
        </w:rPr>
        <w:t xml:space="preserve"> </w:t>
      </w:r>
    </w:p>
    <w:bookmarkEnd w:id="0"/>
    <w:p w14:paraId="0CD8B490" w14:textId="710DA354" w:rsidR="00AC1944" w:rsidRPr="00492199" w:rsidRDefault="00C42BCE" w:rsidP="00AC1944">
      <w:pPr>
        <w:pStyle w:val="Heading1"/>
        <w:pBdr>
          <w:top w:val="single" w:sz="12" w:space="4" w:color="auto"/>
        </w:pBdr>
        <w:rPr>
          <w:lang w:val="en-US"/>
        </w:rPr>
      </w:pPr>
      <w:r>
        <w:rPr>
          <w:lang w:val="en-US" w:eastAsia="zh-CN"/>
        </w:rPr>
        <w:t>3</w:t>
      </w:r>
      <w:r w:rsidR="00AC1944" w:rsidRPr="00492199">
        <w:rPr>
          <w:lang w:val="en-US"/>
        </w:rPr>
        <w:tab/>
      </w:r>
      <w:r w:rsidR="00AC1944" w:rsidRPr="00492199">
        <w:rPr>
          <w:lang w:val="en-US" w:eastAsia="zh-CN"/>
        </w:rPr>
        <w:t xml:space="preserve">Conclusion </w:t>
      </w:r>
    </w:p>
    <w:p w14:paraId="4344E2AA" w14:textId="70328BA1" w:rsidR="00CB151F" w:rsidRDefault="00CB151F" w:rsidP="00CB151F">
      <w:pPr>
        <w:jc w:val="both"/>
        <w:rPr>
          <w:lang w:val="en-US"/>
        </w:rPr>
      </w:pPr>
      <w:r w:rsidRPr="00CB151F">
        <w:rPr>
          <w:lang w:val="en-US"/>
        </w:rPr>
        <w:t xml:space="preserve">In this paper we discussed </w:t>
      </w:r>
      <w:r w:rsidRPr="00CB151F">
        <w:rPr>
          <w:bCs/>
        </w:rPr>
        <w:t>UL transmissions during SMTC in NR-U</w:t>
      </w:r>
      <w:r w:rsidRPr="00CB151F">
        <w:rPr>
          <w:lang w:val="en-US"/>
        </w:rPr>
        <w:t>, and made the following observations and proposal</w:t>
      </w:r>
      <w:bookmarkStart w:id="3" w:name="_GoBack"/>
      <w:bookmarkEnd w:id="3"/>
      <w:r w:rsidRPr="00CB151F">
        <w:rPr>
          <w:lang w:val="en-US"/>
        </w:rPr>
        <w:t>:</w:t>
      </w:r>
    </w:p>
    <w:p w14:paraId="42CA2214" w14:textId="77777777" w:rsidR="00AE2E6B" w:rsidRPr="009869FD" w:rsidRDefault="00AE2E6B" w:rsidP="00AE2E6B">
      <w:pPr>
        <w:jc w:val="both"/>
        <w:rPr>
          <w:b/>
          <w:i/>
        </w:rPr>
      </w:pPr>
      <w:r w:rsidRPr="009869FD">
        <w:rPr>
          <w:b/>
          <w:i/>
        </w:rPr>
        <w:t xml:space="preserve">Observation 1: </w:t>
      </w:r>
      <w:r>
        <w:rPr>
          <w:b/>
          <w:i/>
        </w:rPr>
        <w:t>T</w:t>
      </w:r>
      <w:r w:rsidRPr="009869FD">
        <w:rPr>
          <w:b/>
          <w:i/>
        </w:rPr>
        <w:t>he</w:t>
      </w:r>
      <w:r>
        <w:rPr>
          <w:b/>
          <w:i/>
        </w:rPr>
        <w:t xml:space="preserve"> </w:t>
      </w:r>
      <w:r w:rsidRPr="009869FD">
        <w:rPr>
          <w:b/>
          <w:i/>
        </w:rPr>
        <w:t xml:space="preserve">uncertainty introduced by LBT </w:t>
      </w:r>
      <w:r>
        <w:rPr>
          <w:b/>
          <w:i/>
        </w:rPr>
        <w:t xml:space="preserve">in the transmission of discovery reference signals in unlicensed spectrum </w:t>
      </w:r>
      <w:r w:rsidRPr="009869FD">
        <w:rPr>
          <w:b/>
          <w:i/>
        </w:rPr>
        <w:t>increas</w:t>
      </w:r>
      <w:r>
        <w:rPr>
          <w:b/>
          <w:i/>
        </w:rPr>
        <w:t>es</w:t>
      </w:r>
      <w:r w:rsidRPr="009869FD">
        <w:rPr>
          <w:b/>
          <w:i/>
        </w:rPr>
        <w:t xml:space="preserve"> the likelihood that </w:t>
      </w:r>
      <w:r w:rsidRPr="0085390C">
        <w:rPr>
          <w:b/>
          <w:i/>
        </w:rPr>
        <w:t>intra frequency neighbour cell measurements may collide with UE UL transmissions</w:t>
      </w:r>
      <w:r>
        <w:rPr>
          <w:b/>
          <w:i/>
        </w:rPr>
        <w:t xml:space="preserve"> </w:t>
      </w:r>
      <w:r w:rsidRPr="009869FD">
        <w:rPr>
          <w:b/>
          <w:i/>
        </w:rPr>
        <w:t>on the serving cell</w:t>
      </w:r>
      <w:r>
        <w:rPr>
          <w:b/>
          <w:i/>
        </w:rPr>
        <w:t>, even in a synchronized network deployment</w:t>
      </w:r>
      <w:r w:rsidRPr="009869FD">
        <w:rPr>
          <w:b/>
          <w:i/>
        </w:rPr>
        <w:t>.</w:t>
      </w:r>
    </w:p>
    <w:p w14:paraId="0DF91BFA" w14:textId="77777777" w:rsidR="00AE2E6B" w:rsidRPr="0085390C" w:rsidRDefault="00AE2E6B" w:rsidP="00AE2E6B">
      <w:pPr>
        <w:jc w:val="both"/>
        <w:rPr>
          <w:b/>
        </w:rPr>
      </w:pPr>
      <w:r w:rsidRPr="006B0CD1">
        <w:rPr>
          <w:b/>
          <w:i/>
        </w:rPr>
        <w:t xml:space="preserve">Observation 2: if the </w:t>
      </w:r>
      <w:r>
        <w:rPr>
          <w:b/>
          <w:i/>
        </w:rPr>
        <w:t xml:space="preserve">current UE behaviour as specified in 3GPP TS </w:t>
      </w:r>
      <w:r w:rsidRPr="0085390C">
        <w:rPr>
          <w:rFonts w:cs="Arial"/>
          <w:b/>
          <w:i/>
          <w:szCs w:val="22"/>
          <w:lang w:eastAsia="zh-CN"/>
        </w:rPr>
        <w:t>38.213</w:t>
      </w:r>
      <w:r>
        <w:rPr>
          <w:rFonts w:cs="Arial"/>
          <w:b/>
          <w:i/>
          <w:szCs w:val="22"/>
          <w:lang w:eastAsia="zh-CN"/>
        </w:rPr>
        <w:t xml:space="preserve">, clause 11.1.1, is confirmed for NR-U, scheduling of uplink transmission during the SMTC may result in degraded RRM measurements performance and thus most likely the gNB will not schedule any uplink transmissions during SMTC for the UE. </w:t>
      </w:r>
    </w:p>
    <w:p w14:paraId="78880272" w14:textId="77777777" w:rsidR="00AE2E6B" w:rsidRDefault="00AE2E6B" w:rsidP="00AE2E6B">
      <w:pPr>
        <w:jc w:val="both"/>
      </w:pPr>
      <w:r w:rsidRPr="006B0CD1">
        <w:rPr>
          <w:b/>
          <w:i/>
        </w:rPr>
        <w:t xml:space="preserve">Observation </w:t>
      </w:r>
      <w:r>
        <w:rPr>
          <w:b/>
          <w:i/>
        </w:rPr>
        <w:t>3</w:t>
      </w:r>
      <w:r w:rsidRPr="006B0CD1">
        <w:rPr>
          <w:b/>
          <w:i/>
        </w:rPr>
        <w:t xml:space="preserve">: </w:t>
      </w:r>
      <w:r>
        <w:rPr>
          <w:b/>
          <w:i/>
        </w:rPr>
        <w:t>UE behaviour in case of UE-initiated UL transmissions overlapping with the SMTC is unclear in current specifications</w:t>
      </w:r>
      <w:r>
        <w:rPr>
          <w:rFonts w:cs="Arial"/>
          <w:b/>
          <w:i/>
          <w:szCs w:val="22"/>
          <w:lang w:eastAsia="zh-CN"/>
        </w:rPr>
        <w:t>.</w:t>
      </w:r>
    </w:p>
    <w:p w14:paraId="45C56744" w14:textId="77777777" w:rsidR="00AE2E6B" w:rsidRPr="00235906" w:rsidRDefault="00AE2E6B" w:rsidP="00AE2E6B">
      <w:pPr>
        <w:jc w:val="both"/>
        <w:rPr>
          <w:rFonts w:cs="Arial"/>
        </w:rPr>
      </w:pPr>
      <w:r w:rsidRPr="00894805">
        <w:rPr>
          <w:b/>
          <w:lang w:val="en-US"/>
        </w:rPr>
        <w:t xml:space="preserve">Proposal </w:t>
      </w:r>
      <w:r>
        <w:rPr>
          <w:b/>
          <w:lang w:val="en-US"/>
        </w:rPr>
        <w:t>1</w:t>
      </w:r>
      <w:r w:rsidRPr="00894805">
        <w:rPr>
          <w:b/>
          <w:lang w:val="en-US"/>
        </w:rPr>
        <w:t xml:space="preserve">: RAN2 should discuss UE behavior </w:t>
      </w:r>
      <w:r>
        <w:rPr>
          <w:b/>
          <w:lang w:val="en-US"/>
        </w:rPr>
        <w:t xml:space="preserve">when </w:t>
      </w:r>
      <w:r w:rsidRPr="00894805">
        <w:rPr>
          <w:b/>
          <w:lang w:val="en-US"/>
        </w:rPr>
        <w:t xml:space="preserve">uplink transmissions </w:t>
      </w:r>
      <w:r>
        <w:rPr>
          <w:b/>
          <w:lang w:val="en-US"/>
        </w:rPr>
        <w:t xml:space="preserve">are overlapping with the </w:t>
      </w:r>
      <w:r w:rsidRPr="00894805">
        <w:rPr>
          <w:b/>
          <w:lang w:val="en-US"/>
        </w:rPr>
        <w:t>SMTC</w:t>
      </w:r>
      <w:r>
        <w:rPr>
          <w:b/>
          <w:lang w:val="en-US"/>
        </w:rPr>
        <w:t>, and possibly identify if enhancements are needed to improve the trade-off</w:t>
      </w:r>
      <w:r w:rsidRPr="00D010CE">
        <w:rPr>
          <w:rFonts w:cs="Arial"/>
        </w:rPr>
        <w:t xml:space="preserve"> </w:t>
      </w:r>
      <w:r w:rsidRPr="00D010CE">
        <w:rPr>
          <w:rFonts w:cs="Arial"/>
          <w:b/>
        </w:rPr>
        <w:t>between UL transmission flexibility and RRM measurement requirements in unlicensed spectrum</w:t>
      </w:r>
      <w:r>
        <w:rPr>
          <w:rFonts w:cs="Arial"/>
          <w:b/>
        </w:rPr>
        <w:t>.</w:t>
      </w:r>
      <w:r>
        <w:rPr>
          <w:lang w:val="en-US"/>
        </w:rPr>
        <w:t xml:space="preserve"> </w:t>
      </w:r>
    </w:p>
    <w:p w14:paraId="4BF35573" w14:textId="77777777" w:rsidR="00AC1944" w:rsidRPr="006E13D1" w:rsidRDefault="00AC1944" w:rsidP="00CB151F">
      <w:pPr>
        <w:pStyle w:val="Heading1"/>
        <w:jc w:val="both"/>
      </w:pPr>
      <w:r>
        <w:t>References</w:t>
      </w:r>
    </w:p>
    <w:bookmarkStart w:id="4" w:name="_Hlk536627748"/>
    <w:bookmarkStart w:id="5" w:name="_Ref75086397"/>
    <w:p w14:paraId="35C62718" w14:textId="132A7B63" w:rsidR="00562761" w:rsidRPr="0085390C" w:rsidRDefault="00894805" w:rsidP="00CB151F">
      <w:pPr>
        <w:numPr>
          <w:ilvl w:val="0"/>
          <w:numId w:val="5"/>
        </w:numPr>
        <w:overflowPunct w:val="0"/>
        <w:autoSpaceDE w:val="0"/>
        <w:autoSpaceDN w:val="0"/>
        <w:adjustRightInd w:val="0"/>
        <w:jc w:val="both"/>
        <w:textAlignment w:val="baseline"/>
      </w:pPr>
      <w:r w:rsidRPr="0085390C">
        <w:rPr>
          <w:rStyle w:val="Hyperlink"/>
        </w:rPr>
        <w:fldChar w:fldCharType="begin"/>
      </w:r>
      <w:r w:rsidRPr="0085390C">
        <w:rPr>
          <w:rStyle w:val="Hyperlink"/>
        </w:rPr>
        <w:instrText xml:space="preserve"> HYPERLINK "http://3gpp.org/ftp/tsg_ran/TSG_RAN/TSGR_82/Docs/RP-182878.zip" </w:instrText>
      </w:r>
      <w:r w:rsidRPr="0085390C">
        <w:rPr>
          <w:rStyle w:val="Hyperlink"/>
        </w:rPr>
        <w:fldChar w:fldCharType="separate"/>
      </w:r>
      <w:r w:rsidR="00562761" w:rsidRPr="0085390C">
        <w:rPr>
          <w:rStyle w:val="Hyperlink"/>
        </w:rPr>
        <w:t>RP-182878</w:t>
      </w:r>
      <w:r w:rsidRPr="0085390C">
        <w:rPr>
          <w:rStyle w:val="Hyperlink"/>
        </w:rPr>
        <w:fldChar w:fldCharType="end"/>
      </w:r>
      <w:r w:rsidR="00562761" w:rsidRPr="0085390C">
        <w:rPr>
          <w:i/>
        </w:rPr>
        <w:t>, New WID on NR-based Access to Unlicensed Spectrum</w:t>
      </w:r>
      <w:r w:rsidR="00562761" w:rsidRPr="0085390C">
        <w:t>, Qualcomm Inc.</w:t>
      </w:r>
    </w:p>
    <w:p w14:paraId="4428F70A" w14:textId="5FED3150" w:rsidR="00CB151F" w:rsidRPr="00CB151F" w:rsidRDefault="00AE2E6B" w:rsidP="00CB151F">
      <w:pPr>
        <w:numPr>
          <w:ilvl w:val="0"/>
          <w:numId w:val="5"/>
        </w:numPr>
        <w:overflowPunct w:val="0"/>
        <w:autoSpaceDE w:val="0"/>
        <w:autoSpaceDN w:val="0"/>
        <w:adjustRightInd w:val="0"/>
        <w:jc w:val="both"/>
        <w:textAlignment w:val="baseline"/>
      </w:pPr>
      <w:hyperlink r:id="rId13" w:history="1">
        <w:r w:rsidR="00894805" w:rsidRPr="0085390C">
          <w:rPr>
            <w:rStyle w:val="Hyperlink"/>
          </w:rPr>
          <w:t>TR 38.889</w:t>
        </w:r>
      </w:hyperlink>
      <w:r w:rsidR="00894805" w:rsidRPr="0085390C">
        <w:t xml:space="preserve">, </w:t>
      </w:r>
      <w:r w:rsidR="00894805" w:rsidRPr="0085390C">
        <w:rPr>
          <w:rFonts w:eastAsia="MS Mincho"/>
          <w:i/>
        </w:rPr>
        <w:t>Study on NR-based access to unlicensed spectrum</w:t>
      </w:r>
      <w:r w:rsidR="00894805" w:rsidRPr="0085390C">
        <w:rPr>
          <w:rFonts w:eastAsia="MS Mincho"/>
        </w:rPr>
        <w:t xml:space="preserve">, </w:t>
      </w:r>
      <w:r w:rsidR="00894805" w:rsidRPr="0085390C">
        <w:t>V16.0.0 (2018-12)</w:t>
      </w:r>
    </w:p>
    <w:p w14:paraId="5BC8DA29" w14:textId="5A062B7F" w:rsidR="005A4415" w:rsidRPr="00CB151F" w:rsidRDefault="00CB151F" w:rsidP="00CB151F">
      <w:pPr>
        <w:numPr>
          <w:ilvl w:val="0"/>
          <w:numId w:val="5"/>
        </w:numPr>
        <w:overflowPunct w:val="0"/>
        <w:autoSpaceDE w:val="0"/>
        <w:autoSpaceDN w:val="0"/>
        <w:adjustRightInd w:val="0"/>
        <w:jc w:val="both"/>
        <w:textAlignment w:val="baseline"/>
      </w:pPr>
      <w:r w:rsidRPr="00CB151F">
        <w:rPr>
          <w:lang w:val="en-US"/>
        </w:rPr>
        <w:t>RAN1 Chairman’s Notes</w:t>
      </w:r>
      <w:r w:rsidRPr="00CB151F">
        <w:rPr>
          <w:bCs/>
        </w:rPr>
        <w:t xml:space="preserve"> </w:t>
      </w:r>
      <w:r>
        <w:rPr>
          <w:bCs/>
        </w:rPr>
        <w:t xml:space="preserve">from </w:t>
      </w:r>
      <w:r w:rsidRPr="00CB151F">
        <w:rPr>
          <w:bCs/>
        </w:rPr>
        <w:t>3GPP TSG RAN WG1 Meeting #96bis</w:t>
      </w:r>
    </w:p>
    <w:p w14:paraId="18DEC1CD" w14:textId="61574FB3" w:rsidR="00D010CE" w:rsidRPr="0085390C" w:rsidRDefault="00D010CE" w:rsidP="00CB151F">
      <w:pPr>
        <w:numPr>
          <w:ilvl w:val="0"/>
          <w:numId w:val="5"/>
        </w:numPr>
        <w:overflowPunct w:val="0"/>
        <w:autoSpaceDE w:val="0"/>
        <w:autoSpaceDN w:val="0"/>
        <w:adjustRightInd w:val="0"/>
        <w:jc w:val="both"/>
        <w:textAlignment w:val="baseline"/>
        <w:rPr>
          <w:rStyle w:val="eop"/>
        </w:rPr>
      </w:pPr>
      <w:r w:rsidRPr="00AE2E6B">
        <w:rPr>
          <w:lang w:val="en-US"/>
        </w:rPr>
        <w:t>R2-19</w:t>
      </w:r>
      <w:r w:rsidR="001B39AA" w:rsidRPr="00AE2E6B">
        <w:rPr>
          <w:lang w:val="en-US"/>
        </w:rPr>
        <w:t>06749</w:t>
      </w:r>
      <w:r w:rsidRPr="0085390C">
        <w:rPr>
          <w:lang w:val="en-US"/>
        </w:rPr>
        <w:t xml:space="preserve">, </w:t>
      </w:r>
      <w:r w:rsidRPr="0085390C">
        <w:rPr>
          <w:rStyle w:val="normaltextrun1"/>
          <w:bCs/>
          <w:i/>
        </w:rPr>
        <w:t>Considerations on mobility and measurement gap enhancements in NR-U</w:t>
      </w:r>
      <w:r w:rsidRPr="0085390C">
        <w:rPr>
          <w:lang w:val="en-US"/>
        </w:rPr>
        <w:t>,</w:t>
      </w:r>
      <w:r w:rsidR="005A4415" w:rsidRPr="0085390C">
        <w:rPr>
          <w:lang w:val="en-US"/>
        </w:rPr>
        <w:t xml:space="preserve"> </w:t>
      </w:r>
      <w:r w:rsidR="005A4415" w:rsidRPr="0085390C">
        <w:rPr>
          <w:rStyle w:val="normaltextrun1"/>
          <w:bCs/>
        </w:rPr>
        <w:t>Nokia, Nokia Shanghai Bell</w:t>
      </w:r>
    </w:p>
    <w:p w14:paraId="014F8959" w14:textId="1136982E" w:rsidR="005A4415" w:rsidRPr="0085390C" w:rsidRDefault="00F1297D" w:rsidP="00CB151F">
      <w:pPr>
        <w:numPr>
          <w:ilvl w:val="0"/>
          <w:numId w:val="5"/>
        </w:numPr>
        <w:overflowPunct w:val="0"/>
        <w:autoSpaceDE w:val="0"/>
        <w:autoSpaceDN w:val="0"/>
        <w:adjustRightInd w:val="0"/>
        <w:jc w:val="both"/>
        <w:textAlignment w:val="baseline"/>
      </w:pPr>
      <w:hyperlink r:id="rId14" w:history="1">
        <w:r w:rsidR="005A4415" w:rsidRPr="00F1297D">
          <w:rPr>
            <w:rStyle w:val="Hyperlink"/>
          </w:rPr>
          <w:t>R</w:t>
        </w:r>
        <w:r w:rsidR="00AE2E6B">
          <w:rPr>
            <w:rStyle w:val="Hyperlink"/>
          </w:rPr>
          <w:t>1</w:t>
        </w:r>
        <w:r w:rsidR="005A4415" w:rsidRPr="00F1297D">
          <w:rPr>
            <w:rStyle w:val="Hyperlink"/>
          </w:rPr>
          <w:t>-1</w:t>
        </w:r>
        <w:r w:rsidR="005A4415" w:rsidRPr="00F1297D">
          <w:rPr>
            <w:rStyle w:val="Hyperlink"/>
          </w:rPr>
          <w:t>9</w:t>
        </w:r>
        <w:r w:rsidR="005A4415" w:rsidRPr="00F1297D">
          <w:rPr>
            <w:rStyle w:val="Hyperlink"/>
          </w:rPr>
          <w:t>04</w:t>
        </w:r>
        <w:r w:rsidR="005A4415" w:rsidRPr="00F1297D">
          <w:rPr>
            <w:rStyle w:val="Hyperlink"/>
          </w:rPr>
          <w:t>3</w:t>
        </w:r>
        <w:r w:rsidR="005A4415" w:rsidRPr="00F1297D">
          <w:rPr>
            <w:rStyle w:val="Hyperlink"/>
          </w:rPr>
          <w:t>36</w:t>
        </w:r>
      </w:hyperlink>
      <w:r w:rsidR="005A4415" w:rsidRPr="0085390C">
        <w:t xml:space="preserve">, </w:t>
      </w:r>
      <w:r w:rsidR="005A4415" w:rsidRPr="0085390C">
        <w:rPr>
          <w:i/>
        </w:rPr>
        <w:t>Enhancements to initial access procedure</w:t>
      </w:r>
      <w:r w:rsidR="005A4415" w:rsidRPr="0085390C">
        <w:t>, Ericsson</w:t>
      </w:r>
    </w:p>
    <w:p w14:paraId="7F9A7E59" w14:textId="6DD69484" w:rsidR="005A4415" w:rsidRPr="0085390C" w:rsidRDefault="00F1297D" w:rsidP="00CB151F">
      <w:pPr>
        <w:numPr>
          <w:ilvl w:val="0"/>
          <w:numId w:val="5"/>
        </w:numPr>
        <w:overflowPunct w:val="0"/>
        <w:autoSpaceDE w:val="0"/>
        <w:autoSpaceDN w:val="0"/>
        <w:adjustRightInd w:val="0"/>
        <w:jc w:val="both"/>
        <w:textAlignment w:val="baseline"/>
      </w:pPr>
      <w:hyperlink r:id="rId15" w:history="1">
        <w:r w:rsidR="00AE2E6B">
          <w:rPr>
            <w:rStyle w:val="Hyperlink"/>
          </w:rPr>
          <w:t>R1-1904</w:t>
        </w:r>
        <w:r w:rsidR="00AE2E6B">
          <w:rPr>
            <w:rStyle w:val="Hyperlink"/>
          </w:rPr>
          <w:t>3</w:t>
        </w:r>
        <w:r w:rsidR="00AE2E6B">
          <w:rPr>
            <w:rStyle w:val="Hyperlink"/>
          </w:rPr>
          <w:t>38</w:t>
        </w:r>
      </w:hyperlink>
      <w:r w:rsidR="005A4415" w:rsidRPr="0085390C">
        <w:t xml:space="preserve">, </w:t>
      </w:r>
      <w:r w:rsidR="005A4415" w:rsidRPr="0085390C">
        <w:rPr>
          <w:i/>
        </w:rPr>
        <w:t>Configured grant enhancement</w:t>
      </w:r>
      <w:r w:rsidR="005A4415" w:rsidRPr="0085390C">
        <w:t>, Ericsson</w:t>
      </w:r>
    </w:p>
    <w:bookmarkEnd w:id="4"/>
    <w:bookmarkEnd w:id="5"/>
    <w:p w14:paraId="17C4AB0D" w14:textId="77777777" w:rsidR="007D7E00" w:rsidRPr="00A1767E" w:rsidRDefault="007D7E00" w:rsidP="00A04171">
      <w:pPr>
        <w:overflowPunct w:val="0"/>
        <w:autoSpaceDE w:val="0"/>
        <w:autoSpaceDN w:val="0"/>
        <w:adjustRightInd w:val="0"/>
        <w:ind w:left="357"/>
        <w:textAlignment w:val="baseline"/>
      </w:pPr>
    </w:p>
    <w:p w14:paraId="35F222F4" w14:textId="77777777" w:rsidR="00080512" w:rsidRPr="00CD4C7B" w:rsidRDefault="00080512" w:rsidP="00CD4C7B"/>
    <w:sectPr w:rsidR="00080512" w:rsidRPr="00CD4C7B" w:rsidSect="001B39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2DFFA" w14:textId="77777777" w:rsidR="00462C7E" w:rsidRDefault="00462C7E">
      <w:r>
        <w:separator/>
      </w:r>
    </w:p>
  </w:endnote>
  <w:endnote w:type="continuationSeparator" w:id="0">
    <w:p w14:paraId="24BEF30E" w14:textId="77777777" w:rsidR="00462C7E" w:rsidRDefault="00462C7E">
      <w:r>
        <w:continuationSeparator/>
      </w:r>
    </w:p>
  </w:endnote>
  <w:endnote w:type="continuationNotice" w:id="1">
    <w:p w14:paraId="44041721" w14:textId="77777777" w:rsidR="00462C7E" w:rsidRDefault="00462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5B7E" w14:textId="77777777" w:rsidR="00462C7E" w:rsidRDefault="00462C7E">
      <w:r>
        <w:separator/>
      </w:r>
    </w:p>
  </w:footnote>
  <w:footnote w:type="continuationSeparator" w:id="0">
    <w:p w14:paraId="44D63A31" w14:textId="77777777" w:rsidR="00462C7E" w:rsidRDefault="00462C7E">
      <w:r>
        <w:continuationSeparator/>
      </w:r>
    </w:p>
  </w:footnote>
  <w:footnote w:type="continuationNotice" w:id="1">
    <w:p w14:paraId="693D197A" w14:textId="77777777" w:rsidR="00462C7E" w:rsidRDefault="00462C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DD4E93"/>
    <w:multiLevelType w:val="hybridMultilevel"/>
    <w:tmpl w:val="DC703C00"/>
    <w:lvl w:ilvl="0" w:tplc="4BC4280E">
      <w:numFmt w:val="bullet"/>
      <w:lvlText w:val="-"/>
      <w:lvlJc w:val="left"/>
      <w:pPr>
        <w:ind w:left="720" w:hanging="360"/>
      </w:pPr>
      <w:rPr>
        <w:rFonts w:ascii="Calibri" w:eastAsia="SimSu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5E"/>
    <w:rsid w:val="0001664A"/>
    <w:rsid w:val="0002782C"/>
    <w:rsid w:val="00031CA0"/>
    <w:rsid w:val="00033397"/>
    <w:rsid w:val="00034DAD"/>
    <w:rsid w:val="00034DFE"/>
    <w:rsid w:val="00040095"/>
    <w:rsid w:val="00080512"/>
    <w:rsid w:val="00090468"/>
    <w:rsid w:val="00090ABC"/>
    <w:rsid w:val="000A0C46"/>
    <w:rsid w:val="000B7BCF"/>
    <w:rsid w:val="000C522B"/>
    <w:rsid w:val="000D58AB"/>
    <w:rsid w:val="000E37DF"/>
    <w:rsid w:val="00100E34"/>
    <w:rsid w:val="00112F1A"/>
    <w:rsid w:val="00115EFA"/>
    <w:rsid w:val="001258EA"/>
    <w:rsid w:val="0013620A"/>
    <w:rsid w:val="00140D7D"/>
    <w:rsid w:val="00145075"/>
    <w:rsid w:val="00166284"/>
    <w:rsid w:val="00170FDD"/>
    <w:rsid w:val="00173687"/>
    <w:rsid w:val="001741A0"/>
    <w:rsid w:val="00175FA0"/>
    <w:rsid w:val="00194CD0"/>
    <w:rsid w:val="001B39AA"/>
    <w:rsid w:val="001B49C9"/>
    <w:rsid w:val="001C4F79"/>
    <w:rsid w:val="001F168B"/>
    <w:rsid w:val="001F6FFB"/>
    <w:rsid w:val="001F7831"/>
    <w:rsid w:val="00204045"/>
    <w:rsid w:val="0020712B"/>
    <w:rsid w:val="00214F92"/>
    <w:rsid w:val="00216BA7"/>
    <w:rsid w:val="0022606D"/>
    <w:rsid w:val="00231728"/>
    <w:rsid w:val="00235906"/>
    <w:rsid w:val="00235E08"/>
    <w:rsid w:val="00247AA6"/>
    <w:rsid w:val="002610D8"/>
    <w:rsid w:val="002747EC"/>
    <w:rsid w:val="002855BF"/>
    <w:rsid w:val="00296058"/>
    <w:rsid w:val="002C4C69"/>
    <w:rsid w:val="002F0D22"/>
    <w:rsid w:val="002F63EF"/>
    <w:rsid w:val="0030193D"/>
    <w:rsid w:val="003172DC"/>
    <w:rsid w:val="00321192"/>
    <w:rsid w:val="0032277C"/>
    <w:rsid w:val="00325AE3"/>
    <w:rsid w:val="00326069"/>
    <w:rsid w:val="003301EC"/>
    <w:rsid w:val="003366FC"/>
    <w:rsid w:val="0034344A"/>
    <w:rsid w:val="0035462D"/>
    <w:rsid w:val="0035622A"/>
    <w:rsid w:val="003615FB"/>
    <w:rsid w:val="00361620"/>
    <w:rsid w:val="00364B41"/>
    <w:rsid w:val="003A41EF"/>
    <w:rsid w:val="003A43F0"/>
    <w:rsid w:val="003B40AD"/>
    <w:rsid w:val="003C342C"/>
    <w:rsid w:val="003C4199"/>
    <w:rsid w:val="003C4E37"/>
    <w:rsid w:val="003E16BE"/>
    <w:rsid w:val="003F4E28"/>
    <w:rsid w:val="004006E8"/>
    <w:rsid w:val="00401855"/>
    <w:rsid w:val="00422371"/>
    <w:rsid w:val="00436CF6"/>
    <w:rsid w:val="00462C7E"/>
    <w:rsid w:val="00465587"/>
    <w:rsid w:val="00477455"/>
    <w:rsid w:val="00485B60"/>
    <w:rsid w:val="00492199"/>
    <w:rsid w:val="004A1F7B"/>
    <w:rsid w:val="004B51C3"/>
    <w:rsid w:val="004C44D2"/>
    <w:rsid w:val="004D3578"/>
    <w:rsid w:val="004D380D"/>
    <w:rsid w:val="004D6DCE"/>
    <w:rsid w:val="004E213A"/>
    <w:rsid w:val="004E52C9"/>
    <w:rsid w:val="004E6FE1"/>
    <w:rsid w:val="004F046F"/>
    <w:rsid w:val="00503171"/>
    <w:rsid w:val="00506C28"/>
    <w:rsid w:val="00534DA0"/>
    <w:rsid w:val="00543E6C"/>
    <w:rsid w:val="0055239B"/>
    <w:rsid w:val="00562761"/>
    <w:rsid w:val="00565087"/>
    <w:rsid w:val="0056573F"/>
    <w:rsid w:val="005A4415"/>
    <w:rsid w:val="005B7C24"/>
    <w:rsid w:val="005D0C02"/>
    <w:rsid w:val="006015CB"/>
    <w:rsid w:val="00611566"/>
    <w:rsid w:val="00641130"/>
    <w:rsid w:val="00642D09"/>
    <w:rsid w:val="00646D99"/>
    <w:rsid w:val="00647B54"/>
    <w:rsid w:val="00656910"/>
    <w:rsid w:val="00656A35"/>
    <w:rsid w:val="00672B75"/>
    <w:rsid w:val="00674A2E"/>
    <w:rsid w:val="006B0CD1"/>
    <w:rsid w:val="006C66D8"/>
    <w:rsid w:val="006D1E24"/>
    <w:rsid w:val="006E1417"/>
    <w:rsid w:val="006F6A2C"/>
    <w:rsid w:val="00710201"/>
    <w:rsid w:val="007342B5"/>
    <w:rsid w:val="00734A5B"/>
    <w:rsid w:val="00744E76"/>
    <w:rsid w:val="0075331F"/>
    <w:rsid w:val="00756508"/>
    <w:rsid w:val="00757D40"/>
    <w:rsid w:val="00762554"/>
    <w:rsid w:val="00777AB3"/>
    <w:rsid w:val="00781F0F"/>
    <w:rsid w:val="0078727C"/>
    <w:rsid w:val="0079049D"/>
    <w:rsid w:val="00793DC5"/>
    <w:rsid w:val="007B18D8"/>
    <w:rsid w:val="007C095F"/>
    <w:rsid w:val="007C2DD0"/>
    <w:rsid w:val="007C614C"/>
    <w:rsid w:val="007D7E00"/>
    <w:rsid w:val="007E70E8"/>
    <w:rsid w:val="007E70F1"/>
    <w:rsid w:val="008028A4"/>
    <w:rsid w:val="00813245"/>
    <w:rsid w:val="00852755"/>
    <w:rsid w:val="0085390C"/>
    <w:rsid w:val="008620B9"/>
    <w:rsid w:val="00866D7A"/>
    <w:rsid w:val="008768CA"/>
    <w:rsid w:val="00877EF9"/>
    <w:rsid w:val="00880559"/>
    <w:rsid w:val="00894805"/>
    <w:rsid w:val="0089556F"/>
    <w:rsid w:val="008A4330"/>
    <w:rsid w:val="008B5306"/>
    <w:rsid w:val="008C4DEC"/>
    <w:rsid w:val="008D2E4D"/>
    <w:rsid w:val="008E00FD"/>
    <w:rsid w:val="008F2E99"/>
    <w:rsid w:val="008F396F"/>
    <w:rsid w:val="008F6508"/>
    <w:rsid w:val="0090271F"/>
    <w:rsid w:val="00902DB9"/>
    <w:rsid w:val="0090466A"/>
    <w:rsid w:val="00917DD2"/>
    <w:rsid w:val="00936071"/>
    <w:rsid w:val="00940212"/>
    <w:rsid w:val="0094148F"/>
    <w:rsid w:val="00942EC2"/>
    <w:rsid w:val="00952718"/>
    <w:rsid w:val="00961B32"/>
    <w:rsid w:val="00962509"/>
    <w:rsid w:val="00970DB3"/>
    <w:rsid w:val="00974BB0"/>
    <w:rsid w:val="00984C50"/>
    <w:rsid w:val="009869FD"/>
    <w:rsid w:val="00994BEA"/>
    <w:rsid w:val="009A0AF3"/>
    <w:rsid w:val="009A3AD9"/>
    <w:rsid w:val="009B07CD"/>
    <w:rsid w:val="009C19E9"/>
    <w:rsid w:val="009D74A6"/>
    <w:rsid w:val="009E3945"/>
    <w:rsid w:val="009F49BA"/>
    <w:rsid w:val="009F7B4F"/>
    <w:rsid w:val="00A04171"/>
    <w:rsid w:val="00A10F02"/>
    <w:rsid w:val="00A12DB2"/>
    <w:rsid w:val="00A1767E"/>
    <w:rsid w:val="00A17FD7"/>
    <w:rsid w:val="00A204CA"/>
    <w:rsid w:val="00A2424F"/>
    <w:rsid w:val="00A34CEA"/>
    <w:rsid w:val="00A5175C"/>
    <w:rsid w:val="00A52823"/>
    <w:rsid w:val="00A53724"/>
    <w:rsid w:val="00A82346"/>
    <w:rsid w:val="00A9671C"/>
    <w:rsid w:val="00AA1553"/>
    <w:rsid w:val="00AC1944"/>
    <w:rsid w:val="00AC233A"/>
    <w:rsid w:val="00AD2883"/>
    <w:rsid w:val="00AD6C9A"/>
    <w:rsid w:val="00AE2E6B"/>
    <w:rsid w:val="00AF1D40"/>
    <w:rsid w:val="00AF2E64"/>
    <w:rsid w:val="00B04CBF"/>
    <w:rsid w:val="00B05380"/>
    <w:rsid w:val="00B05962"/>
    <w:rsid w:val="00B15449"/>
    <w:rsid w:val="00B250C5"/>
    <w:rsid w:val="00B27303"/>
    <w:rsid w:val="00B47FD1"/>
    <w:rsid w:val="00B516BB"/>
    <w:rsid w:val="00B54E23"/>
    <w:rsid w:val="00B722AD"/>
    <w:rsid w:val="00B73A12"/>
    <w:rsid w:val="00B839B4"/>
    <w:rsid w:val="00B84DB2"/>
    <w:rsid w:val="00BC3555"/>
    <w:rsid w:val="00BD13C8"/>
    <w:rsid w:val="00BE15FD"/>
    <w:rsid w:val="00BE41BA"/>
    <w:rsid w:val="00C12B51"/>
    <w:rsid w:val="00C24650"/>
    <w:rsid w:val="00C25465"/>
    <w:rsid w:val="00C33079"/>
    <w:rsid w:val="00C42BCE"/>
    <w:rsid w:val="00C83954"/>
    <w:rsid w:val="00C83A13"/>
    <w:rsid w:val="00C9068C"/>
    <w:rsid w:val="00C92967"/>
    <w:rsid w:val="00C93B9D"/>
    <w:rsid w:val="00CA20E0"/>
    <w:rsid w:val="00CA3D0C"/>
    <w:rsid w:val="00CA654B"/>
    <w:rsid w:val="00CB05D3"/>
    <w:rsid w:val="00CB151F"/>
    <w:rsid w:val="00CB5B39"/>
    <w:rsid w:val="00CB72B8"/>
    <w:rsid w:val="00CD4C7B"/>
    <w:rsid w:val="00CD747A"/>
    <w:rsid w:val="00D010CE"/>
    <w:rsid w:val="00D0432D"/>
    <w:rsid w:val="00D04E12"/>
    <w:rsid w:val="00D24F3F"/>
    <w:rsid w:val="00D33BE3"/>
    <w:rsid w:val="00D3792D"/>
    <w:rsid w:val="00D528DE"/>
    <w:rsid w:val="00D55E47"/>
    <w:rsid w:val="00D62E19"/>
    <w:rsid w:val="00D67CD1"/>
    <w:rsid w:val="00D7341D"/>
    <w:rsid w:val="00D738D6"/>
    <w:rsid w:val="00D80795"/>
    <w:rsid w:val="00D854BE"/>
    <w:rsid w:val="00D8746F"/>
    <w:rsid w:val="00D87E00"/>
    <w:rsid w:val="00D87E97"/>
    <w:rsid w:val="00D9134D"/>
    <w:rsid w:val="00D96D11"/>
    <w:rsid w:val="00DA7A03"/>
    <w:rsid w:val="00DB0DB8"/>
    <w:rsid w:val="00DB1818"/>
    <w:rsid w:val="00DC309B"/>
    <w:rsid w:val="00DC3388"/>
    <w:rsid w:val="00DC4DA2"/>
    <w:rsid w:val="00DF04A2"/>
    <w:rsid w:val="00E026B2"/>
    <w:rsid w:val="00E114D6"/>
    <w:rsid w:val="00E46C08"/>
    <w:rsid w:val="00E471CF"/>
    <w:rsid w:val="00E500CC"/>
    <w:rsid w:val="00E62835"/>
    <w:rsid w:val="00E77645"/>
    <w:rsid w:val="00E83697"/>
    <w:rsid w:val="00E91430"/>
    <w:rsid w:val="00EA1A55"/>
    <w:rsid w:val="00EB27EF"/>
    <w:rsid w:val="00EC4A25"/>
    <w:rsid w:val="00ED7D53"/>
    <w:rsid w:val="00EE3BD6"/>
    <w:rsid w:val="00F025A2"/>
    <w:rsid w:val="00F07388"/>
    <w:rsid w:val="00F1297D"/>
    <w:rsid w:val="00F2026E"/>
    <w:rsid w:val="00F2210A"/>
    <w:rsid w:val="00F31486"/>
    <w:rsid w:val="00F314F6"/>
    <w:rsid w:val="00F33C6F"/>
    <w:rsid w:val="00F37743"/>
    <w:rsid w:val="00F54A3D"/>
    <w:rsid w:val="00F54CB0"/>
    <w:rsid w:val="00F64D66"/>
    <w:rsid w:val="00F653B8"/>
    <w:rsid w:val="00F71B89"/>
    <w:rsid w:val="00F7353C"/>
    <w:rsid w:val="00F76E85"/>
    <w:rsid w:val="00F76F8F"/>
    <w:rsid w:val="00F90D9E"/>
    <w:rsid w:val="00F941DF"/>
    <w:rsid w:val="00FA1266"/>
    <w:rsid w:val="00FA5B60"/>
    <w:rsid w:val="00FB36FA"/>
    <w:rsid w:val="00FC1192"/>
    <w:rsid w:val="00FD7B63"/>
    <w:rsid w:val="00FE251B"/>
    <w:rsid w:val="62D903CE"/>
    <w:rsid w:val="6F90D8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69744DE5"/>
  <w15:chartTrackingRefBased/>
  <w15:docId w15:val="{982388BD-3ECB-AD48-B1C0-A113C898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uiPriority w:val="99"/>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rsid w:val="00AC19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character" w:styleId="UnresolvedMention">
    <w:name w:val="Unresolved Mention"/>
    <w:basedOn w:val="DefaultParagraphFont"/>
    <w:rsid w:val="0094148F"/>
    <w:rPr>
      <w:color w:val="808080"/>
      <w:shd w:val="clear" w:color="auto" w:fill="E6E6E6"/>
    </w:rPr>
  </w:style>
  <w:style w:type="paragraph" w:styleId="NormalWeb">
    <w:name w:val="Normal (Web)"/>
    <w:basedOn w:val="Normal"/>
    <w:uiPriority w:val="99"/>
    <w:unhideWhenUsed/>
    <w:rsid w:val="00321192"/>
    <w:pPr>
      <w:spacing w:before="100" w:beforeAutospacing="1" w:after="100" w:afterAutospacing="1"/>
    </w:pPr>
    <w:rPr>
      <w:rFonts w:eastAsiaTheme="minorEastAsia"/>
      <w:sz w:val="24"/>
      <w:szCs w:val="24"/>
      <w:lang w:val="da-DK" w:eastAsia="da-DK"/>
    </w:rPr>
  </w:style>
  <w:style w:type="paragraph" w:styleId="Caption">
    <w:name w:val="caption"/>
    <w:basedOn w:val="Normal"/>
    <w:next w:val="Normal"/>
    <w:unhideWhenUsed/>
    <w:qFormat/>
    <w:rsid w:val="00321192"/>
    <w:pPr>
      <w:spacing w:after="200"/>
    </w:pPr>
    <w:rPr>
      <w:rFonts w:ascii="Arial" w:hAnsi="Arial"/>
      <w:i/>
      <w:iCs/>
      <w:color w:val="44546A" w:themeColor="text2"/>
      <w:sz w:val="18"/>
      <w:szCs w:val="18"/>
    </w:rPr>
  </w:style>
  <w:style w:type="character" w:customStyle="1" w:styleId="normaltextrun1">
    <w:name w:val="normaltextrun1"/>
    <w:basedOn w:val="DefaultParagraphFont"/>
    <w:rsid w:val="00D010CE"/>
  </w:style>
  <w:style w:type="paragraph" w:customStyle="1" w:styleId="paragraph">
    <w:name w:val="paragraph"/>
    <w:basedOn w:val="Normal"/>
    <w:rsid w:val="005A4415"/>
    <w:pPr>
      <w:spacing w:after="0"/>
    </w:pPr>
    <w:rPr>
      <w:sz w:val="24"/>
      <w:szCs w:val="24"/>
      <w:lang w:val="da-DK" w:eastAsia="da-DK"/>
    </w:rPr>
  </w:style>
  <w:style w:type="character" w:customStyle="1" w:styleId="eop">
    <w:name w:val="eop"/>
    <w:basedOn w:val="DefaultParagraphFont"/>
    <w:rsid w:val="005A4415"/>
  </w:style>
  <w:style w:type="character" w:styleId="FollowedHyperlink">
    <w:name w:val="FollowedHyperlink"/>
    <w:basedOn w:val="DefaultParagraphFont"/>
    <w:rsid w:val="00AE2E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431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2294634">
      <w:bodyDiv w:val="1"/>
      <w:marLeft w:val="0"/>
      <w:marRight w:val="0"/>
      <w:marTop w:val="0"/>
      <w:marBottom w:val="0"/>
      <w:divBdr>
        <w:top w:val="none" w:sz="0" w:space="0" w:color="auto"/>
        <w:left w:val="none" w:sz="0" w:space="0" w:color="auto"/>
        <w:bottom w:val="none" w:sz="0" w:space="0" w:color="auto"/>
        <w:right w:val="none" w:sz="0" w:space="0" w:color="auto"/>
      </w:divBdr>
    </w:div>
    <w:div w:id="1631396467">
      <w:bodyDiv w:val="1"/>
      <w:marLeft w:val="0"/>
      <w:marRight w:val="0"/>
      <w:marTop w:val="0"/>
      <w:marBottom w:val="0"/>
      <w:divBdr>
        <w:top w:val="none" w:sz="0" w:space="0" w:color="auto"/>
        <w:left w:val="none" w:sz="0" w:space="0" w:color="auto"/>
        <w:bottom w:val="none" w:sz="0" w:space="0" w:color="auto"/>
        <w:right w:val="none" w:sz="0" w:space="0" w:color="auto"/>
      </w:divBdr>
      <w:divsChild>
        <w:div w:id="1945305607">
          <w:marLeft w:val="0"/>
          <w:marRight w:val="0"/>
          <w:marTop w:val="0"/>
          <w:marBottom w:val="0"/>
          <w:divBdr>
            <w:top w:val="none" w:sz="0" w:space="0" w:color="auto"/>
            <w:left w:val="none" w:sz="0" w:space="0" w:color="auto"/>
            <w:bottom w:val="none" w:sz="0" w:space="0" w:color="auto"/>
            <w:right w:val="none" w:sz="0" w:space="0" w:color="auto"/>
          </w:divBdr>
          <w:divsChild>
            <w:div w:id="2084983540">
              <w:marLeft w:val="0"/>
              <w:marRight w:val="0"/>
              <w:marTop w:val="0"/>
              <w:marBottom w:val="0"/>
              <w:divBdr>
                <w:top w:val="none" w:sz="0" w:space="0" w:color="auto"/>
                <w:left w:val="none" w:sz="0" w:space="0" w:color="auto"/>
                <w:bottom w:val="none" w:sz="0" w:space="0" w:color="auto"/>
                <w:right w:val="none" w:sz="0" w:space="0" w:color="auto"/>
              </w:divBdr>
              <w:divsChild>
                <w:div w:id="1871725746">
                  <w:marLeft w:val="0"/>
                  <w:marRight w:val="0"/>
                  <w:marTop w:val="0"/>
                  <w:marBottom w:val="0"/>
                  <w:divBdr>
                    <w:top w:val="none" w:sz="0" w:space="0" w:color="auto"/>
                    <w:left w:val="none" w:sz="0" w:space="0" w:color="auto"/>
                    <w:bottom w:val="none" w:sz="0" w:space="0" w:color="auto"/>
                    <w:right w:val="none" w:sz="0" w:space="0" w:color="auto"/>
                  </w:divBdr>
                  <w:divsChild>
                    <w:div w:id="1156805019">
                      <w:marLeft w:val="0"/>
                      <w:marRight w:val="0"/>
                      <w:marTop w:val="0"/>
                      <w:marBottom w:val="0"/>
                      <w:divBdr>
                        <w:top w:val="none" w:sz="0" w:space="0" w:color="auto"/>
                        <w:left w:val="none" w:sz="0" w:space="0" w:color="auto"/>
                        <w:bottom w:val="none" w:sz="0" w:space="0" w:color="auto"/>
                        <w:right w:val="none" w:sz="0" w:space="0" w:color="auto"/>
                      </w:divBdr>
                      <w:divsChild>
                        <w:div w:id="1614095661">
                          <w:marLeft w:val="0"/>
                          <w:marRight w:val="0"/>
                          <w:marTop w:val="0"/>
                          <w:marBottom w:val="0"/>
                          <w:divBdr>
                            <w:top w:val="none" w:sz="0" w:space="0" w:color="auto"/>
                            <w:left w:val="none" w:sz="0" w:space="0" w:color="auto"/>
                            <w:bottom w:val="none" w:sz="0" w:space="0" w:color="auto"/>
                            <w:right w:val="none" w:sz="0" w:space="0" w:color="auto"/>
                          </w:divBdr>
                          <w:divsChild>
                            <w:div w:id="1164319041">
                              <w:marLeft w:val="0"/>
                              <w:marRight w:val="0"/>
                              <w:marTop w:val="0"/>
                              <w:marBottom w:val="0"/>
                              <w:divBdr>
                                <w:top w:val="none" w:sz="0" w:space="0" w:color="auto"/>
                                <w:left w:val="none" w:sz="0" w:space="0" w:color="auto"/>
                                <w:bottom w:val="none" w:sz="0" w:space="0" w:color="auto"/>
                                <w:right w:val="none" w:sz="0" w:space="0" w:color="auto"/>
                              </w:divBdr>
                              <w:divsChild>
                                <w:div w:id="372313791">
                                  <w:marLeft w:val="0"/>
                                  <w:marRight w:val="0"/>
                                  <w:marTop w:val="0"/>
                                  <w:marBottom w:val="0"/>
                                  <w:divBdr>
                                    <w:top w:val="none" w:sz="0" w:space="0" w:color="auto"/>
                                    <w:left w:val="none" w:sz="0" w:space="0" w:color="auto"/>
                                    <w:bottom w:val="none" w:sz="0" w:space="0" w:color="auto"/>
                                    <w:right w:val="none" w:sz="0" w:space="0" w:color="auto"/>
                                  </w:divBdr>
                                  <w:divsChild>
                                    <w:div w:id="1609505965">
                                      <w:marLeft w:val="0"/>
                                      <w:marRight w:val="0"/>
                                      <w:marTop w:val="0"/>
                                      <w:marBottom w:val="0"/>
                                      <w:divBdr>
                                        <w:top w:val="none" w:sz="0" w:space="0" w:color="auto"/>
                                        <w:left w:val="none" w:sz="0" w:space="0" w:color="auto"/>
                                        <w:bottom w:val="none" w:sz="0" w:space="0" w:color="auto"/>
                                        <w:right w:val="none" w:sz="0" w:space="0" w:color="auto"/>
                                      </w:divBdr>
                                      <w:divsChild>
                                        <w:div w:id="1396397895">
                                          <w:marLeft w:val="0"/>
                                          <w:marRight w:val="0"/>
                                          <w:marTop w:val="0"/>
                                          <w:marBottom w:val="0"/>
                                          <w:divBdr>
                                            <w:top w:val="none" w:sz="0" w:space="0" w:color="auto"/>
                                            <w:left w:val="none" w:sz="0" w:space="0" w:color="auto"/>
                                            <w:bottom w:val="none" w:sz="0" w:space="0" w:color="auto"/>
                                            <w:right w:val="none" w:sz="0" w:space="0" w:color="auto"/>
                                          </w:divBdr>
                                          <w:divsChild>
                                            <w:div w:id="1594708483">
                                              <w:marLeft w:val="0"/>
                                              <w:marRight w:val="0"/>
                                              <w:marTop w:val="0"/>
                                              <w:marBottom w:val="0"/>
                                              <w:divBdr>
                                                <w:top w:val="none" w:sz="0" w:space="0" w:color="auto"/>
                                                <w:left w:val="none" w:sz="0" w:space="0" w:color="auto"/>
                                                <w:bottom w:val="none" w:sz="0" w:space="0" w:color="auto"/>
                                                <w:right w:val="none" w:sz="0" w:space="0" w:color="auto"/>
                                              </w:divBdr>
                                              <w:divsChild>
                                                <w:div w:id="1935432059">
                                                  <w:marLeft w:val="0"/>
                                                  <w:marRight w:val="0"/>
                                                  <w:marTop w:val="0"/>
                                                  <w:marBottom w:val="0"/>
                                                  <w:divBdr>
                                                    <w:top w:val="none" w:sz="0" w:space="0" w:color="auto"/>
                                                    <w:left w:val="none" w:sz="0" w:space="0" w:color="auto"/>
                                                    <w:bottom w:val="none" w:sz="0" w:space="0" w:color="auto"/>
                                                    <w:right w:val="none" w:sz="0" w:space="0" w:color="auto"/>
                                                  </w:divBdr>
                                                  <w:divsChild>
                                                    <w:div w:id="260259454">
                                                      <w:marLeft w:val="0"/>
                                                      <w:marRight w:val="0"/>
                                                      <w:marTop w:val="0"/>
                                                      <w:marBottom w:val="0"/>
                                                      <w:divBdr>
                                                        <w:top w:val="single" w:sz="6" w:space="0" w:color="ABABAB"/>
                                                        <w:left w:val="single" w:sz="6" w:space="0" w:color="ABABAB"/>
                                                        <w:bottom w:val="none" w:sz="0" w:space="0" w:color="auto"/>
                                                        <w:right w:val="single" w:sz="6" w:space="0" w:color="ABABAB"/>
                                                      </w:divBdr>
                                                      <w:divsChild>
                                                        <w:div w:id="477504588">
                                                          <w:marLeft w:val="0"/>
                                                          <w:marRight w:val="0"/>
                                                          <w:marTop w:val="0"/>
                                                          <w:marBottom w:val="0"/>
                                                          <w:divBdr>
                                                            <w:top w:val="none" w:sz="0" w:space="0" w:color="auto"/>
                                                            <w:left w:val="none" w:sz="0" w:space="0" w:color="auto"/>
                                                            <w:bottom w:val="none" w:sz="0" w:space="0" w:color="auto"/>
                                                            <w:right w:val="none" w:sz="0" w:space="0" w:color="auto"/>
                                                          </w:divBdr>
                                                          <w:divsChild>
                                                            <w:div w:id="692195340">
                                                              <w:marLeft w:val="0"/>
                                                              <w:marRight w:val="0"/>
                                                              <w:marTop w:val="0"/>
                                                              <w:marBottom w:val="0"/>
                                                              <w:divBdr>
                                                                <w:top w:val="none" w:sz="0" w:space="0" w:color="auto"/>
                                                                <w:left w:val="none" w:sz="0" w:space="0" w:color="auto"/>
                                                                <w:bottom w:val="none" w:sz="0" w:space="0" w:color="auto"/>
                                                                <w:right w:val="none" w:sz="0" w:space="0" w:color="auto"/>
                                                              </w:divBdr>
                                                              <w:divsChild>
                                                                <w:div w:id="2026975420">
                                                                  <w:marLeft w:val="0"/>
                                                                  <w:marRight w:val="0"/>
                                                                  <w:marTop w:val="0"/>
                                                                  <w:marBottom w:val="0"/>
                                                                  <w:divBdr>
                                                                    <w:top w:val="none" w:sz="0" w:space="0" w:color="auto"/>
                                                                    <w:left w:val="none" w:sz="0" w:space="0" w:color="auto"/>
                                                                    <w:bottom w:val="none" w:sz="0" w:space="0" w:color="auto"/>
                                                                    <w:right w:val="none" w:sz="0" w:space="0" w:color="auto"/>
                                                                  </w:divBdr>
                                                                  <w:divsChild>
                                                                    <w:div w:id="1697152749">
                                                                      <w:marLeft w:val="0"/>
                                                                      <w:marRight w:val="0"/>
                                                                      <w:marTop w:val="0"/>
                                                                      <w:marBottom w:val="0"/>
                                                                      <w:divBdr>
                                                                        <w:top w:val="none" w:sz="0" w:space="0" w:color="auto"/>
                                                                        <w:left w:val="none" w:sz="0" w:space="0" w:color="auto"/>
                                                                        <w:bottom w:val="none" w:sz="0" w:space="0" w:color="auto"/>
                                                                        <w:right w:val="none" w:sz="0" w:space="0" w:color="auto"/>
                                                                      </w:divBdr>
                                                                      <w:divsChild>
                                                                        <w:div w:id="173495144">
                                                                          <w:marLeft w:val="0"/>
                                                                          <w:marRight w:val="0"/>
                                                                          <w:marTop w:val="0"/>
                                                                          <w:marBottom w:val="0"/>
                                                                          <w:divBdr>
                                                                            <w:top w:val="none" w:sz="0" w:space="0" w:color="auto"/>
                                                                            <w:left w:val="none" w:sz="0" w:space="0" w:color="auto"/>
                                                                            <w:bottom w:val="none" w:sz="0" w:space="0" w:color="auto"/>
                                                                            <w:right w:val="none" w:sz="0" w:space="0" w:color="auto"/>
                                                                          </w:divBdr>
                                                                          <w:divsChild>
                                                                            <w:div w:id="1207332685">
                                                                              <w:marLeft w:val="0"/>
                                                                              <w:marRight w:val="0"/>
                                                                              <w:marTop w:val="0"/>
                                                                              <w:marBottom w:val="0"/>
                                                                              <w:divBdr>
                                                                                <w:top w:val="none" w:sz="0" w:space="0" w:color="auto"/>
                                                                                <w:left w:val="none" w:sz="0" w:space="0" w:color="auto"/>
                                                                                <w:bottom w:val="none" w:sz="0" w:space="0" w:color="auto"/>
                                                                                <w:right w:val="none" w:sz="0" w:space="0" w:color="auto"/>
                                                                              </w:divBdr>
                                                                              <w:divsChild>
                                                                                <w:div w:id="94438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DynaReport/38889.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1/Docs/R1-190433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1/Docs/R1-19043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5AIRPNAIUNRU-859666464-5084</_dlc_DocId>
    <_dlc_DocIdUrl xmlns="71c5aaf6-e6ce-465b-b873-5148d2a4c105">
      <Url>https://nokia.sharepoint.com/sites/c5g/e2earch/_layouts/15/DocIdRedir.aspx?ID=5AIRPNAIUNRU-859666464-5084</Url>
      <Description>5AIRPNAIUNRU-859666464-5084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www.w3.org/XML/1998/namespace"/>
    <ds:schemaRef ds:uri="http://schemas.openxmlformats.org/package/2006/metadata/core-properties"/>
    <ds:schemaRef ds:uri="http://purl.org/dc/dcmitype/"/>
    <ds:schemaRef ds:uri="http://schemas.microsoft.com/office/2006/documentManagement/types"/>
    <ds:schemaRef ds:uri="71c5aaf6-e6ce-465b-b873-5148d2a4c105"/>
    <ds:schemaRef ds:uri="83f22d2f-d16e-4be6-ad4f-29fa0b067c3c"/>
    <ds:schemaRef ds:uri="http://purl.org/dc/elements/1.1/"/>
    <ds:schemaRef ds:uri="http://schemas.microsoft.com/office/infopath/2007/PartnerControls"/>
    <ds:schemaRef ds:uri="a3840f4f-04be-43d1-b2ef-6ff1382503c7"/>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CF24B0E-E8BB-4462-9F7F-9820BA21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1688</Words>
  <Characters>9533</Characters>
  <Application>Microsoft Office Word</Application>
  <DocSecurity>0</DocSecurity>
  <Lines>79</Lines>
  <Paragraphs>22</Paragraphs>
  <ScaleCrop>false</ScaleCrop>
  <Company>Nokia Siemens Networks</Company>
  <LinksUpToDate>false</LinksUpToDate>
  <CharactersWithSpaces>11199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keywords/>
  <cp:lastModifiedBy>Nokia-GWO4</cp:lastModifiedBy>
  <cp:revision>29</cp:revision>
  <dcterms:created xsi:type="dcterms:W3CDTF">2019-03-26T20:09:00Z</dcterms:created>
  <dcterms:modified xsi:type="dcterms:W3CDTF">2019-05-02T14:17:00Z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e7333ce6-be09-4f6b-8ecf-b46f79d5e8f2</vt:lpwstr>
  </property>
</Properties>
</file>